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EACD0" w14:textId="51852078" w:rsidR="008D2234" w:rsidRPr="00B907B6" w:rsidRDefault="008D2234" w:rsidP="001C039F">
      <w:pPr>
        <w:pStyle w:val="a7"/>
        <w:tabs>
          <w:tab w:val="clear" w:pos="8306"/>
          <w:tab w:val="right" w:pos="9639"/>
          <w:tab w:val="right" w:pos="9781"/>
        </w:tabs>
        <w:ind w:right="-58"/>
        <w:rPr>
          <w:rFonts w:ascii="Arial" w:hAnsi="Arial" w:cs="Arial"/>
          <w:b/>
          <w:bCs/>
          <w:sz w:val="24"/>
          <w:szCs w:val="24"/>
        </w:rPr>
      </w:pPr>
      <w:bookmarkStart w:id="0" w:name="Source"/>
      <w:bookmarkEnd w:id="0"/>
      <w:r w:rsidRPr="00B907B6">
        <w:rPr>
          <w:rFonts w:ascii="Arial" w:hAnsi="Arial" w:cs="Arial"/>
          <w:b/>
          <w:bCs/>
          <w:sz w:val="24"/>
          <w:szCs w:val="24"/>
        </w:rPr>
        <w:t>3</w:t>
      </w:r>
      <w:r w:rsidR="007C1F29" w:rsidRPr="00B907B6">
        <w:rPr>
          <w:rFonts w:ascii="Arial" w:hAnsi="Arial" w:cs="Arial"/>
          <w:b/>
          <w:bCs/>
          <w:sz w:val="24"/>
          <w:szCs w:val="24"/>
        </w:rPr>
        <w:t>GPP TSG RAN WG1 #9</w:t>
      </w:r>
      <w:r w:rsidR="00D47CC9" w:rsidRPr="00B907B6">
        <w:rPr>
          <w:rFonts w:ascii="Arial" w:hAnsi="Arial" w:cs="Arial"/>
          <w:b/>
          <w:bCs/>
          <w:sz w:val="24"/>
          <w:szCs w:val="24"/>
        </w:rPr>
        <w:t>8</w:t>
      </w:r>
      <w:r w:rsidRPr="00B907B6">
        <w:rPr>
          <w:rFonts w:ascii="Arial" w:hAnsi="Arial" w:cs="Arial"/>
          <w:b/>
          <w:bCs/>
          <w:sz w:val="24"/>
          <w:szCs w:val="24"/>
        </w:rPr>
        <w:tab/>
        <w:t xml:space="preserve">    </w:t>
      </w:r>
      <w:r w:rsidRPr="00B907B6">
        <w:rPr>
          <w:rFonts w:ascii="Arial" w:hAnsi="Arial" w:cs="Arial"/>
          <w:b/>
          <w:bCs/>
          <w:sz w:val="24"/>
          <w:szCs w:val="24"/>
        </w:rPr>
        <w:tab/>
        <w:t xml:space="preserve">    </w:t>
      </w:r>
      <w:r w:rsidR="001C039F">
        <w:rPr>
          <w:rFonts w:ascii="Arial" w:hAnsi="Arial" w:cs="Arial" w:hint="eastAsia"/>
          <w:b/>
          <w:bCs/>
          <w:sz w:val="24"/>
          <w:szCs w:val="24"/>
        </w:rPr>
        <w:t xml:space="preserve">   </w:t>
      </w:r>
      <w:r w:rsidRPr="00B907B6">
        <w:rPr>
          <w:rFonts w:ascii="Arial" w:hAnsi="Arial" w:cs="Arial"/>
          <w:b/>
          <w:bCs/>
          <w:sz w:val="24"/>
          <w:szCs w:val="24"/>
        </w:rPr>
        <w:t xml:space="preserve">  </w:t>
      </w:r>
      <w:r w:rsidR="001C039F">
        <w:rPr>
          <w:rFonts w:ascii="Arial" w:hAnsi="Arial" w:cs="Arial" w:hint="eastAsia"/>
          <w:b/>
          <w:bCs/>
          <w:sz w:val="24"/>
          <w:szCs w:val="24"/>
        </w:rPr>
        <w:t xml:space="preserve">           </w:t>
      </w:r>
      <w:r w:rsidRPr="00B907B6">
        <w:rPr>
          <w:rFonts w:ascii="Arial" w:hAnsi="Arial" w:cs="Arial"/>
          <w:b/>
          <w:bCs/>
          <w:sz w:val="24"/>
          <w:szCs w:val="24"/>
        </w:rPr>
        <w:t>R1-</w:t>
      </w:r>
      <w:r w:rsidR="0037213E" w:rsidRPr="00B907B6">
        <w:rPr>
          <w:rFonts w:ascii="Arial" w:hAnsi="Arial" w:cs="Arial"/>
          <w:sz w:val="24"/>
          <w:szCs w:val="24"/>
        </w:rPr>
        <w:t xml:space="preserve"> </w:t>
      </w:r>
      <w:r w:rsidR="0037213E" w:rsidRPr="00B907B6">
        <w:rPr>
          <w:rFonts w:ascii="Arial" w:hAnsi="Arial" w:cs="Arial"/>
          <w:b/>
          <w:bCs/>
          <w:sz w:val="24"/>
          <w:szCs w:val="24"/>
        </w:rPr>
        <w:t>19</w:t>
      </w:r>
      <w:r w:rsidR="007C1F29" w:rsidRPr="00B907B6">
        <w:rPr>
          <w:rFonts w:ascii="Arial" w:hAnsi="Arial" w:cs="Arial"/>
          <w:b/>
          <w:bCs/>
          <w:sz w:val="24"/>
          <w:szCs w:val="24"/>
        </w:rPr>
        <w:t>0</w:t>
      </w:r>
      <w:r w:rsidR="00064E3C">
        <w:rPr>
          <w:rFonts w:ascii="Arial" w:hAnsi="Arial" w:cs="Arial" w:hint="eastAsia"/>
          <w:b/>
          <w:bCs/>
          <w:sz w:val="24"/>
          <w:szCs w:val="24"/>
        </w:rPr>
        <w:t>8</w:t>
      </w:r>
      <w:r w:rsidR="00064E3C">
        <w:rPr>
          <w:rFonts w:ascii="Arial" w:hAnsi="Arial" w:cs="Arial"/>
          <w:b/>
          <w:bCs/>
          <w:sz w:val="24"/>
          <w:szCs w:val="24"/>
        </w:rPr>
        <w:t>389</w:t>
      </w:r>
    </w:p>
    <w:p w14:paraId="4B1EACD1" w14:textId="46B0A355" w:rsidR="008D2234" w:rsidRPr="00B907B6" w:rsidRDefault="00D47CC9" w:rsidP="00BF041F">
      <w:pPr>
        <w:pStyle w:val="a7"/>
        <w:tabs>
          <w:tab w:val="right" w:pos="8280"/>
          <w:tab w:val="right" w:pos="9781"/>
        </w:tabs>
        <w:ind w:right="-58"/>
        <w:rPr>
          <w:rFonts w:ascii="Arial" w:hAnsi="Arial" w:cs="Arial"/>
          <w:b/>
          <w:bCs/>
          <w:sz w:val="24"/>
          <w:szCs w:val="24"/>
        </w:rPr>
      </w:pPr>
      <w:r w:rsidRPr="00B907B6">
        <w:rPr>
          <w:rFonts w:ascii="Arial" w:hAnsi="Arial" w:cs="Arial"/>
          <w:b/>
          <w:bCs/>
          <w:sz w:val="24"/>
          <w:szCs w:val="24"/>
        </w:rPr>
        <w:t xml:space="preserve">Prague, </w:t>
      </w:r>
      <w:r w:rsidR="00EB3717" w:rsidRPr="00EB3717">
        <w:rPr>
          <w:rFonts w:ascii="Arial" w:hAnsi="Arial" w:cs="Arial"/>
          <w:b/>
          <w:bCs/>
          <w:sz w:val="24"/>
          <w:szCs w:val="24"/>
        </w:rPr>
        <w:t>Czech</w:t>
      </w:r>
      <w:r w:rsidRPr="00B907B6">
        <w:rPr>
          <w:rFonts w:ascii="Arial" w:hAnsi="Arial" w:cs="Arial"/>
          <w:b/>
          <w:bCs/>
          <w:sz w:val="24"/>
          <w:szCs w:val="24"/>
        </w:rPr>
        <w:t>, August 26th – 30th, 2019</w:t>
      </w:r>
    </w:p>
    <w:p w14:paraId="4B1EACD2" w14:textId="77777777" w:rsidR="008D2234" w:rsidRPr="00B907B6" w:rsidRDefault="008D2234" w:rsidP="00BF041F">
      <w:pPr>
        <w:pStyle w:val="a7"/>
        <w:tabs>
          <w:tab w:val="right" w:pos="8280"/>
          <w:tab w:val="right" w:pos="9781"/>
        </w:tabs>
        <w:ind w:right="-58"/>
        <w:rPr>
          <w:rFonts w:ascii="Arial" w:hAnsi="Arial" w:cs="Arial"/>
          <w:b/>
          <w:bCs/>
          <w:sz w:val="24"/>
          <w:szCs w:val="24"/>
        </w:rPr>
      </w:pPr>
    </w:p>
    <w:p w14:paraId="4B1EACD3" w14:textId="77777777" w:rsidR="00924F7B" w:rsidRPr="00B907B6" w:rsidRDefault="00924F7B" w:rsidP="00BF041F">
      <w:pPr>
        <w:spacing w:after="60"/>
        <w:ind w:left="1985" w:hanging="1985"/>
        <w:rPr>
          <w:rFonts w:ascii="Arial" w:hAnsi="Arial" w:cs="Arial"/>
          <w:b/>
          <w:bCs/>
          <w:szCs w:val="24"/>
        </w:rPr>
      </w:pPr>
      <w:r w:rsidRPr="00B907B6">
        <w:rPr>
          <w:rFonts w:ascii="Arial" w:hAnsi="Arial" w:cs="Arial"/>
          <w:b/>
          <w:szCs w:val="24"/>
        </w:rPr>
        <w:t>Agenda item:</w:t>
      </w:r>
      <w:r w:rsidRPr="00B907B6">
        <w:rPr>
          <w:rFonts w:ascii="Arial" w:hAnsi="Arial" w:cs="Arial"/>
          <w:b/>
          <w:szCs w:val="24"/>
        </w:rPr>
        <w:tab/>
        <w:t>7.2.2.2.5</w:t>
      </w:r>
    </w:p>
    <w:p w14:paraId="4B1EACD4" w14:textId="77777777" w:rsidR="00924F7B" w:rsidRPr="00B907B6" w:rsidRDefault="00924F7B" w:rsidP="00BF041F">
      <w:pPr>
        <w:spacing w:after="60"/>
        <w:ind w:left="1985" w:hanging="1985"/>
        <w:rPr>
          <w:rFonts w:ascii="Arial" w:hAnsi="Arial" w:cs="Arial"/>
          <w:b/>
          <w:szCs w:val="24"/>
        </w:rPr>
      </w:pPr>
      <w:r w:rsidRPr="00B907B6">
        <w:rPr>
          <w:rFonts w:ascii="Arial" w:hAnsi="Arial" w:cs="Arial"/>
          <w:b/>
          <w:szCs w:val="24"/>
        </w:rPr>
        <w:t>Title:</w:t>
      </w:r>
      <w:r w:rsidRPr="00B907B6">
        <w:rPr>
          <w:rFonts w:ascii="Arial" w:hAnsi="Arial" w:cs="Arial"/>
          <w:b/>
          <w:szCs w:val="24"/>
        </w:rPr>
        <w:tab/>
      </w:r>
      <w:r w:rsidR="006B4EB3" w:rsidRPr="00B907B6">
        <w:rPr>
          <w:rFonts w:ascii="Arial" w:hAnsi="Arial" w:cs="Arial"/>
          <w:b/>
          <w:szCs w:val="24"/>
        </w:rPr>
        <w:t>Wideband operation for NR-U.</w:t>
      </w:r>
    </w:p>
    <w:p w14:paraId="4B1EACD5" w14:textId="77777777" w:rsidR="00924F7B" w:rsidRPr="00B907B6" w:rsidRDefault="00924F7B" w:rsidP="00BF041F">
      <w:pPr>
        <w:spacing w:after="60"/>
        <w:ind w:left="1985" w:hanging="1985"/>
        <w:rPr>
          <w:rFonts w:ascii="Arial" w:hAnsi="Arial" w:cs="Arial"/>
          <w:b/>
          <w:bCs/>
          <w:szCs w:val="24"/>
        </w:rPr>
      </w:pPr>
      <w:r w:rsidRPr="00B907B6">
        <w:rPr>
          <w:rFonts w:ascii="Arial" w:hAnsi="Arial" w:cs="Arial"/>
          <w:b/>
          <w:szCs w:val="24"/>
        </w:rPr>
        <w:t>Source:</w:t>
      </w:r>
      <w:r w:rsidRPr="00B907B6">
        <w:rPr>
          <w:rFonts w:ascii="Arial" w:hAnsi="Arial" w:cs="Arial"/>
          <w:b/>
          <w:bCs/>
          <w:szCs w:val="24"/>
        </w:rPr>
        <w:tab/>
        <w:t>MediaTek Inc.</w:t>
      </w:r>
    </w:p>
    <w:p w14:paraId="4B1EACD6" w14:textId="77777777" w:rsidR="00092A5C" w:rsidRPr="00B907B6" w:rsidRDefault="00924F7B" w:rsidP="00BF041F">
      <w:pPr>
        <w:spacing w:after="60"/>
        <w:ind w:left="1985" w:hanging="1985"/>
        <w:rPr>
          <w:rFonts w:ascii="Arial" w:hAnsi="Arial" w:cs="Arial"/>
          <w:b/>
          <w:bCs/>
          <w:szCs w:val="24"/>
        </w:rPr>
      </w:pPr>
      <w:r w:rsidRPr="00B907B6">
        <w:rPr>
          <w:rFonts w:ascii="Arial" w:hAnsi="Arial" w:cs="Arial"/>
          <w:b/>
          <w:szCs w:val="24"/>
        </w:rPr>
        <w:t>Document for:</w:t>
      </w:r>
      <w:r w:rsidRPr="00B907B6">
        <w:rPr>
          <w:rFonts w:ascii="Arial" w:hAnsi="Arial" w:cs="Arial"/>
          <w:b/>
          <w:bCs/>
          <w:szCs w:val="24"/>
        </w:rPr>
        <w:tab/>
        <w:t>Discussion</w:t>
      </w:r>
    </w:p>
    <w:p w14:paraId="4B1EACD7" w14:textId="77777777" w:rsidR="00092A5C" w:rsidRPr="00917598" w:rsidRDefault="003D6EDB" w:rsidP="00092A5C">
      <w:pPr>
        <w:rPr>
          <w:rFonts w:ascii="Arial" w:hAnsi="Arial" w:cs="Arial"/>
        </w:rPr>
      </w:pPr>
      <w:r>
        <w:rPr>
          <w:rFonts w:ascii="Arial" w:hAnsi="Arial" w:cs="Arial"/>
        </w:rPr>
        <w:pict w14:anchorId="4B1EAD2E">
          <v:rect id="_x0000_i1025" style="width:415.3pt;height:1pt" o:hralign="center" o:hrstd="t" o:hrnoshade="t" o:hr="t" fillcolor="black [3213]" stroked="f"/>
        </w:pict>
      </w:r>
    </w:p>
    <w:p w14:paraId="4B1EACD8" w14:textId="77777777" w:rsidR="00092A5C" w:rsidRPr="00F76BD2" w:rsidRDefault="00BC17C5" w:rsidP="00A828D1">
      <w:pPr>
        <w:pStyle w:val="a3"/>
        <w:numPr>
          <w:ilvl w:val="0"/>
          <w:numId w:val="5"/>
        </w:numPr>
        <w:snapToGrid w:val="0"/>
        <w:spacing w:after="240"/>
        <w:ind w:leftChars="0"/>
        <w:outlineLvl w:val="0"/>
        <w:rPr>
          <w:rFonts w:ascii="Arial" w:hAnsi="Arial" w:cs="Arial"/>
          <w:b/>
          <w:sz w:val="28"/>
          <w:szCs w:val="28"/>
        </w:rPr>
      </w:pPr>
      <w:r w:rsidRPr="00F76BD2">
        <w:rPr>
          <w:rFonts w:ascii="Arial" w:hAnsi="Arial" w:cs="Arial"/>
          <w:b/>
          <w:sz w:val="28"/>
          <w:szCs w:val="28"/>
        </w:rPr>
        <w:t>Introduction</w:t>
      </w:r>
    </w:p>
    <w:p w14:paraId="34166B12" w14:textId="77F92528" w:rsidR="003020C7" w:rsidRPr="00B907B6" w:rsidRDefault="003020C7" w:rsidP="001A5563">
      <w:pPr>
        <w:widowControl/>
        <w:jc w:val="both"/>
        <w:rPr>
          <w:rFonts w:ascii="Times New Roman" w:eastAsia="Batang" w:hAnsi="Times New Roman" w:cs="Times New Roman"/>
          <w:kern w:val="0"/>
          <w:sz w:val="20"/>
          <w:szCs w:val="20"/>
          <w:lang w:val="en-GB" w:eastAsia="en-US"/>
        </w:rPr>
      </w:pPr>
      <w:r w:rsidRPr="00B907B6">
        <w:rPr>
          <w:rFonts w:ascii="Times New Roman" w:eastAsia="Batang" w:hAnsi="Times New Roman" w:cs="Times New Roman"/>
          <w:kern w:val="0"/>
          <w:sz w:val="20"/>
          <w:szCs w:val="20"/>
          <w:lang w:val="en-GB" w:eastAsia="en-US"/>
        </w:rPr>
        <w:t>In this contribution, we provide our views on the following issues for NR-U</w:t>
      </w:r>
      <w:r w:rsidR="009B6B70" w:rsidRPr="00B907B6">
        <w:rPr>
          <w:rFonts w:ascii="Times New Roman" w:hAnsi="Times New Roman"/>
          <w:sz w:val="20"/>
          <w:szCs w:val="20"/>
        </w:rPr>
        <w:t xml:space="preserve"> wideband operation</w:t>
      </w:r>
      <w:r w:rsidRPr="00B907B6">
        <w:rPr>
          <w:rFonts w:ascii="Times New Roman" w:eastAsia="Batang" w:hAnsi="Times New Roman" w:cs="Times New Roman"/>
          <w:kern w:val="0"/>
          <w:sz w:val="20"/>
          <w:szCs w:val="20"/>
          <w:lang w:val="en-GB" w:eastAsia="en-US"/>
        </w:rPr>
        <w:t>:</w:t>
      </w:r>
    </w:p>
    <w:p w14:paraId="5B166FCC" w14:textId="7C39D7AB" w:rsidR="003020C7" w:rsidRPr="00B907B6" w:rsidRDefault="009B6B70" w:rsidP="00407899">
      <w:pPr>
        <w:widowControl/>
        <w:numPr>
          <w:ilvl w:val="0"/>
          <w:numId w:val="38"/>
        </w:numPr>
        <w:contextualSpacing/>
        <w:jc w:val="both"/>
        <w:rPr>
          <w:rFonts w:ascii="Times New Roman" w:eastAsia="Calibri" w:hAnsi="Times New Roman" w:cs="Times New Roman"/>
          <w:color w:val="000000"/>
          <w:kern w:val="0"/>
          <w:sz w:val="20"/>
          <w:szCs w:val="20"/>
          <w:lang w:val="en-GB" w:eastAsia="en-US"/>
        </w:rPr>
      </w:pPr>
      <w:r w:rsidRPr="00B907B6">
        <w:rPr>
          <w:rFonts w:ascii="Times New Roman" w:eastAsia="Calibri" w:hAnsi="Times New Roman" w:cs="Times New Roman"/>
          <w:color w:val="000000"/>
          <w:kern w:val="0"/>
          <w:sz w:val="20"/>
          <w:szCs w:val="20"/>
          <w:lang w:val="en-GB" w:eastAsia="en-US"/>
        </w:rPr>
        <w:t>CO-related control information in time and frequency domains</w:t>
      </w:r>
    </w:p>
    <w:p w14:paraId="67C4DB57" w14:textId="7827F66F" w:rsidR="003020C7" w:rsidRDefault="00AA2130" w:rsidP="00407899">
      <w:pPr>
        <w:widowControl/>
        <w:numPr>
          <w:ilvl w:val="0"/>
          <w:numId w:val="38"/>
        </w:numPr>
        <w:contextualSpacing/>
        <w:jc w:val="both"/>
        <w:rPr>
          <w:rFonts w:ascii="Times New Roman" w:eastAsia="Calibri" w:hAnsi="Times New Roman" w:cs="Times New Roman"/>
          <w:color w:val="000000"/>
          <w:kern w:val="0"/>
          <w:sz w:val="20"/>
          <w:szCs w:val="20"/>
          <w:lang w:val="en-GB" w:eastAsia="en-US"/>
        </w:rPr>
      </w:pPr>
      <w:r w:rsidRPr="00B907B6">
        <w:rPr>
          <w:rFonts w:ascii="Times New Roman" w:eastAsia="Calibri" w:hAnsi="Times New Roman" w:cs="Times New Roman"/>
          <w:color w:val="000000"/>
          <w:kern w:val="0"/>
          <w:sz w:val="20"/>
          <w:szCs w:val="20"/>
          <w:lang w:val="en-GB" w:eastAsia="en-US"/>
        </w:rPr>
        <w:t>Control channel design for wideband operation</w:t>
      </w:r>
    </w:p>
    <w:p w14:paraId="60D8D065" w14:textId="1F180FF1" w:rsidR="00E45F11" w:rsidRPr="00E45F11" w:rsidRDefault="00E45F11" w:rsidP="00E45F11">
      <w:pPr>
        <w:pStyle w:val="a3"/>
        <w:numPr>
          <w:ilvl w:val="0"/>
          <w:numId w:val="38"/>
        </w:numPr>
        <w:ind w:leftChars="0"/>
        <w:rPr>
          <w:rFonts w:ascii="Times New Roman" w:eastAsia="Calibri" w:hAnsi="Times New Roman" w:cs="Times New Roman"/>
          <w:color w:val="000000"/>
          <w:kern w:val="0"/>
          <w:sz w:val="20"/>
          <w:szCs w:val="20"/>
          <w:lang w:val="en-GB" w:eastAsia="en-US"/>
        </w:rPr>
      </w:pPr>
      <w:r w:rsidRPr="00E45F11">
        <w:rPr>
          <w:rFonts w:ascii="Times New Roman" w:eastAsia="Calibri" w:hAnsi="Times New Roman" w:cs="Times New Roman"/>
          <w:color w:val="000000"/>
          <w:kern w:val="0"/>
          <w:sz w:val="20"/>
          <w:szCs w:val="20"/>
          <w:lang w:val="en-GB" w:eastAsia="en-US"/>
        </w:rPr>
        <w:t xml:space="preserve">Data channel design for wideband operation </w:t>
      </w:r>
    </w:p>
    <w:p w14:paraId="4B1EACEC" w14:textId="1130B830" w:rsidR="00195F45" w:rsidRPr="00B907B6" w:rsidRDefault="00195F45" w:rsidP="00E058F8">
      <w:pPr>
        <w:snapToGrid w:val="0"/>
        <w:rPr>
          <w:rFonts w:ascii="Times New Roman" w:hAnsi="Times New Roman" w:cs="Times New Roman"/>
          <w:b/>
          <w:sz w:val="28"/>
          <w:szCs w:val="24"/>
          <w:lang w:val="en-GB"/>
        </w:rPr>
      </w:pPr>
    </w:p>
    <w:p w14:paraId="3D36C403" w14:textId="1B81583F" w:rsidR="00D32401" w:rsidRPr="00F76BD2" w:rsidRDefault="00E01AEA" w:rsidP="00E16AC6">
      <w:pPr>
        <w:pStyle w:val="a3"/>
        <w:numPr>
          <w:ilvl w:val="0"/>
          <w:numId w:val="5"/>
        </w:numPr>
        <w:snapToGrid w:val="0"/>
        <w:spacing w:after="240"/>
        <w:ind w:leftChars="0"/>
        <w:contextualSpacing/>
        <w:jc w:val="both"/>
        <w:outlineLvl w:val="0"/>
        <w:rPr>
          <w:rFonts w:ascii="Arial" w:hAnsi="Arial" w:cs="Arial"/>
          <w:b/>
          <w:color w:val="000000" w:themeColor="text1"/>
          <w:sz w:val="28"/>
          <w:szCs w:val="28"/>
        </w:rPr>
      </w:pPr>
      <w:r w:rsidRPr="00F76BD2">
        <w:rPr>
          <w:rFonts w:ascii="Arial" w:hAnsi="Arial" w:cs="Arial"/>
          <w:b/>
          <w:bCs/>
          <w:color w:val="000000" w:themeColor="text1"/>
          <w:sz w:val="28"/>
          <w:szCs w:val="28"/>
        </w:rPr>
        <w:t>CO-related control information in time and frequency domains</w:t>
      </w:r>
    </w:p>
    <w:p w14:paraId="47E420B7" w14:textId="540DE70B" w:rsidR="00E01AEA" w:rsidRPr="00B907B6" w:rsidRDefault="00E934BC" w:rsidP="00E934BC">
      <w:pPr>
        <w:widowControl/>
        <w:spacing w:line="280" w:lineRule="exact"/>
        <w:jc w:val="both"/>
        <w:rPr>
          <w:rFonts w:ascii="Times New Roman" w:hAnsi="Times New Roman" w:cs="Times New Roman"/>
          <w:sz w:val="20"/>
          <w:szCs w:val="20"/>
          <w:lang w:eastAsia="x-none"/>
        </w:rPr>
      </w:pPr>
      <w:r w:rsidRPr="00B907B6">
        <w:rPr>
          <w:rFonts w:ascii="Times New Roman" w:hAnsi="Times New Roman" w:cs="Times New Roman" w:hint="eastAsia"/>
          <w:sz w:val="20"/>
          <w:szCs w:val="20"/>
          <w:lang w:eastAsia="x-none"/>
        </w:rPr>
        <w:t>In RAN1#94bis meeting</w:t>
      </w:r>
      <w:r w:rsidR="00ED295E" w:rsidRPr="00B907B6">
        <w:rPr>
          <w:rFonts w:ascii="Times New Roman" w:hAnsi="Times New Roman" w:cs="Times New Roman"/>
          <w:sz w:val="20"/>
          <w:szCs w:val="20"/>
          <w:lang w:eastAsia="x-none"/>
        </w:rPr>
        <w:t xml:space="preserve"> [1]</w:t>
      </w:r>
      <w:r w:rsidRPr="00B907B6">
        <w:rPr>
          <w:rFonts w:ascii="Times New Roman" w:hAnsi="Times New Roman" w:cs="Times New Roman" w:hint="eastAsia"/>
          <w:sz w:val="20"/>
          <w:szCs w:val="20"/>
          <w:lang w:eastAsia="x-none"/>
        </w:rPr>
        <w:t>, it was agree</w:t>
      </w:r>
      <w:r w:rsidRPr="00B907B6">
        <w:rPr>
          <w:rFonts w:ascii="Times New Roman" w:hAnsi="Times New Roman" w:cs="Times New Roman"/>
          <w:sz w:val="20"/>
          <w:szCs w:val="20"/>
          <w:lang w:eastAsia="x-none"/>
        </w:rPr>
        <w:t xml:space="preserve">d that the indication of the channel occupancy structure in time domain in addition to the functionalities provided by DCI format 2_0 in Rel-15 NR </w:t>
      </w:r>
      <w:r w:rsidR="007373F2" w:rsidRPr="00B907B6">
        <w:rPr>
          <w:rFonts w:ascii="Times New Roman" w:hAnsi="Times New Roman" w:cs="Times New Roman"/>
          <w:sz w:val="20"/>
          <w:szCs w:val="20"/>
          <w:lang w:eastAsia="x-none"/>
        </w:rPr>
        <w:t>is</w:t>
      </w:r>
      <w:r w:rsidRPr="00B907B6">
        <w:rPr>
          <w:rFonts w:ascii="Times New Roman" w:hAnsi="Times New Roman" w:cs="Times New Roman"/>
          <w:sz w:val="20"/>
          <w:szCs w:val="20"/>
          <w:lang w:eastAsia="x-none"/>
        </w:rPr>
        <w:t xml:space="preserve"> beneficial.</w:t>
      </w:r>
      <w:r w:rsidR="00152FE7" w:rsidRPr="00B907B6">
        <w:rPr>
          <w:rFonts w:ascii="Times New Roman" w:hAnsi="Times New Roman" w:cs="Times New Roman"/>
          <w:sz w:val="20"/>
          <w:szCs w:val="20"/>
          <w:lang w:eastAsia="x-none"/>
        </w:rPr>
        <w:t xml:space="preserve"> </w:t>
      </w:r>
      <w:r w:rsidR="00E16AC6" w:rsidRPr="00B907B6">
        <w:rPr>
          <w:rFonts w:ascii="Times New Roman" w:hAnsi="Times New Roman" w:cs="Times New Roman"/>
          <w:sz w:val="20"/>
          <w:szCs w:val="20"/>
          <w:lang w:eastAsia="x-none"/>
        </w:rPr>
        <w:t>In RAN1#97 meeting</w:t>
      </w:r>
      <w:r w:rsidR="00ED295E" w:rsidRPr="00B907B6">
        <w:rPr>
          <w:rFonts w:ascii="Times New Roman" w:hAnsi="Times New Roman" w:cs="Times New Roman"/>
          <w:sz w:val="20"/>
          <w:szCs w:val="20"/>
          <w:lang w:eastAsia="x-none"/>
        </w:rPr>
        <w:t xml:space="preserve"> [2]</w:t>
      </w:r>
      <w:r w:rsidR="00E16AC6" w:rsidRPr="00B907B6">
        <w:rPr>
          <w:rFonts w:ascii="Times New Roman" w:hAnsi="Times New Roman" w:cs="Times New Roman"/>
          <w:sz w:val="20"/>
          <w:szCs w:val="20"/>
          <w:lang w:eastAsia="x-none"/>
        </w:rPr>
        <w:t xml:space="preserve">, it was agreed that using GC-PDCCH to inform the UE whether carrier(s) and/or LBT subband(s) is available for </w:t>
      </w:r>
      <w:r w:rsidR="003020C7" w:rsidRPr="00B907B6">
        <w:rPr>
          <w:rFonts w:ascii="Times New Roman" w:hAnsi="Times New Roman" w:cs="Times New Roman"/>
          <w:sz w:val="20"/>
          <w:szCs w:val="20"/>
          <w:lang w:eastAsia="x-none"/>
        </w:rPr>
        <w:t>downlink</w:t>
      </w:r>
      <w:r w:rsidR="00E16AC6" w:rsidRPr="00B907B6">
        <w:rPr>
          <w:rFonts w:ascii="Times New Roman" w:hAnsi="Times New Roman" w:cs="Times New Roman"/>
          <w:sz w:val="20"/>
          <w:szCs w:val="20"/>
          <w:lang w:eastAsia="x-none"/>
        </w:rPr>
        <w:t xml:space="preserve"> reception, at least for slot(s) that are not at the beginning of DL transmission burst. Based on these agreements</w:t>
      </w:r>
      <w:r w:rsidR="00E16AC6" w:rsidRPr="00B907B6">
        <w:rPr>
          <w:rFonts w:ascii="Times New Roman" w:hAnsi="Times New Roman" w:cs="Times New Roman" w:hint="eastAsia"/>
          <w:sz w:val="20"/>
          <w:szCs w:val="20"/>
        </w:rPr>
        <w:t>,</w:t>
      </w:r>
      <w:r w:rsidR="00E16AC6" w:rsidRPr="00B907B6">
        <w:rPr>
          <w:rFonts w:ascii="Times New Roman" w:hAnsi="Times New Roman" w:cs="Times New Roman"/>
          <w:sz w:val="20"/>
          <w:szCs w:val="20"/>
        </w:rPr>
        <w:t xml:space="preserve"> </w:t>
      </w:r>
      <w:r w:rsidR="00E16AC6" w:rsidRPr="00B907B6">
        <w:rPr>
          <w:rFonts w:ascii="Times New Roman" w:hAnsi="Times New Roman" w:cs="Times New Roman"/>
          <w:sz w:val="20"/>
          <w:szCs w:val="20"/>
          <w:lang w:eastAsia="x-none"/>
        </w:rPr>
        <w:t>w</w:t>
      </w:r>
      <w:r w:rsidR="00152FE7" w:rsidRPr="00B907B6">
        <w:rPr>
          <w:rFonts w:ascii="Times New Roman" w:hAnsi="Times New Roman" w:cs="Times New Roman"/>
          <w:sz w:val="20"/>
          <w:szCs w:val="20"/>
          <w:lang w:eastAsia="x-none"/>
        </w:rPr>
        <w:t xml:space="preserve">e see that </w:t>
      </w:r>
      <w:r w:rsidR="00E01AEA" w:rsidRPr="00B907B6">
        <w:rPr>
          <w:rFonts w:ascii="Times New Roman" w:hAnsi="Times New Roman" w:cs="Times New Roman"/>
          <w:sz w:val="20"/>
          <w:szCs w:val="20"/>
          <w:lang w:eastAsia="x-none"/>
        </w:rPr>
        <w:t>CO</w:t>
      </w:r>
      <w:r w:rsidR="00152FE7" w:rsidRPr="00B907B6">
        <w:rPr>
          <w:rFonts w:ascii="Times New Roman" w:hAnsi="Times New Roman" w:cs="Times New Roman"/>
          <w:sz w:val="20"/>
          <w:szCs w:val="20"/>
          <w:lang w:eastAsia="x-none"/>
        </w:rPr>
        <w:t xml:space="preserve">-related control information including </w:t>
      </w:r>
      <w:r w:rsidR="00E01AEA" w:rsidRPr="00B907B6">
        <w:rPr>
          <w:rFonts w:ascii="Times New Roman" w:hAnsi="Times New Roman" w:cs="Times New Roman"/>
          <w:sz w:val="20"/>
          <w:szCs w:val="20"/>
          <w:lang w:eastAsia="x-none"/>
        </w:rPr>
        <w:t>channel occupancy structure in both time domain (</w:t>
      </w:r>
      <w:r w:rsidR="009E0DBC" w:rsidRPr="00B907B6">
        <w:rPr>
          <w:rFonts w:ascii="Times New Roman" w:hAnsi="Times New Roman" w:cs="Times New Roman"/>
          <w:sz w:val="20"/>
          <w:szCs w:val="20"/>
          <w:lang w:eastAsia="x-none"/>
        </w:rPr>
        <w:t xml:space="preserve">e.g., </w:t>
      </w:r>
      <w:r w:rsidR="00E01AEA" w:rsidRPr="00B907B6">
        <w:rPr>
          <w:rFonts w:ascii="Times New Roman" w:hAnsi="Times New Roman" w:cs="Times New Roman"/>
          <w:sz w:val="20"/>
          <w:szCs w:val="20"/>
          <w:lang w:eastAsia="x-none"/>
        </w:rPr>
        <w:t>SFI-index and COT/SFI duration/ending) and frequency domain (</w:t>
      </w:r>
      <w:r w:rsidR="009E0DBC" w:rsidRPr="00B907B6">
        <w:rPr>
          <w:rFonts w:ascii="Times New Roman" w:hAnsi="Times New Roman" w:cs="Times New Roman"/>
          <w:sz w:val="20"/>
          <w:szCs w:val="20"/>
          <w:lang w:eastAsia="x-none"/>
        </w:rPr>
        <w:t xml:space="preserve">e.g., </w:t>
      </w:r>
      <w:r w:rsidR="00E01AEA" w:rsidRPr="00B907B6">
        <w:rPr>
          <w:rFonts w:ascii="Times New Roman" w:hAnsi="Times New Roman" w:cs="Times New Roman"/>
          <w:sz w:val="20"/>
          <w:szCs w:val="20"/>
          <w:lang w:eastAsia="x-none"/>
        </w:rPr>
        <w:t>available subband/carrier indication) could be conveyed in the same DCI</w:t>
      </w:r>
      <w:r w:rsidR="008003D6" w:rsidRPr="00B907B6">
        <w:rPr>
          <w:rFonts w:ascii="Times New Roman" w:hAnsi="Times New Roman" w:cs="Times New Roman"/>
          <w:sz w:val="20"/>
          <w:szCs w:val="20"/>
          <w:lang w:eastAsia="x-none"/>
        </w:rPr>
        <w:t xml:space="preserve"> (e.g., DCI format 2_0) </w:t>
      </w:r>
      <w:r w:rsidR="00652D24" w:rsidRPr="00B907B6">
        <w:rPr>
          <w:rFonts w:ascii="Times New Roman" w:hAnsi="Times New Roman" w:cs="Times New Roman"/>
          <w:sz w:val="20"/>
          <w:szCs w:val="20"/>
          <w:lang w:eastAsia="x-none"/>
        </w:rPr>
        <w:t xml:space="preserve">and </w:t>
      </w:r>
      <w:r w:rsidR="00E01AEA" w:rsidRPr="00B907B6">
        <w:rPr>
          <w:rFonts w:ascii="Times New Roman" w:hAnsi="Times New Roman" w:cs="Times New Roman"/>
          <w:sz w:val="20"/>
          <w:szCs w:val="20"/>
          <w:lang w:eastAsia="x-none"/>
        </w:rPr>
        <w:t xml:space="preserve">transmitted on GC-PDCCH. </w:t>
      </w:r>
      <w:r w:rsidR="00652D24" w:rsidRPr="00B907B6">
        <w:rPr>
          <w:rFonts w:ascii="Times New Roman" w:hAnsi="Times New Roman" w:cs="Times New Roman"/>
          <w:sz w:val="20"/>
          <w:szCs w:val="20"/>
          <w:lang w:eastAsia="x-none"/>
        </w:rPr>
        <w:t>Moreover</w:t>
      </w:r>
      <w:r w:rsidR="00E01AEA" w:rsidRPr="00B907B6">
        <w:rPr>
          <w:rFonts w:ascii="Times New Roman" w:hAnsi="Times New Roman" w:cs="Times New Roman"/>
          <w:sz w:val="20"/>
          <w:szCs w:val="20"/>
          <w:lang w:eastAsia="x-none"/>
        </w:rPr>
        <w:t xml:space="preserve">, </w:t>
      </w:r>
      <w:r w:rsidR="00FF08AB" w:rsidRPr="00B907B6">
        <w:rPr>
          <w:rFonts w:ascii="Times New Roman" w:hAnsi="Times New Roman" w:cs="Times New Roman"/>
          <w:sz w:val="20"/>
          <w:szCs w:val="20"/>
          <w:lang w:eastAsia="x-none"/>
        </w:rPr>
        <w:t>PDCCH monitoring occasion indication</w:t>
      </w:r>
      <w:r w:rsidR="00E01AEA" w:rsidRPr="00B907B6">
        <w:rPr>
          <w:rFonts w:ascii="Times New Roman" w:hAnsi="Times New Roman" w:cs="Times New Roman"/>
          <w:sz w:val="20"/>
          <w:szCs w:val="20"/>
          <w:lang w:eastAsia="x-none"/>
        </w:rPr>
        <w:t xml:space="preserve"> </w:t>
      </w:r>
      <w:r w:rsidR="00152FE7" w:rsidRPr="00B907B6">
        <w:rPr>
          <w:rFonts w:ascii="Times New Roman" w:hAnsi="Times New Roman" w:cs="Times New Roman"/>
          <w:sz w:val="20"/>
          <w:szCs w:val="20"/>
          <w:lang w:eastAsia="x-none"/>
        </w:rPr>
        <w:t xml:space="preserve">and COT sharing </w:t>
      </w:r>
      <w:r w:rsidR="00962A2B" w:rsidRPr="00962A2B">
        <w:rPr>
          <w:rFonts w:ascii="Times New Roman" w:hAnsi="Times New Roman" w:cs="Times New Roman"/>
          <w:sz w:val="20"/>
          <w:szCs w:val="20"/>
          <w:lang w:eastAsia="x-none"/>
        </w:rPr>
        <w:t>information</w:t>
      </w:r>
      <w:r w:rsidR="00962A2B" w:rsidRPr="00B907B6">
        <w:rPr>
          <w:rFonts w:ascii="Times New Roman" w:hAnsi="Times New Roman" w:cs="Times New Roman"/>
          <w:b/>
          <w:color w:val="000000" w:themeColor="text1"/>
          <w:sz w:val="20"/>
          <w:szCs w:val="20"/>
        </w:rPr>
        <w:t xml:space="preserve"> </w:t>
      </w:r>
      <w:r w:rsidR="0080663A" w:rsidRPr="00B907B6">
        <w:rPr>
          <w:rFonts w:ascii="Times New Roman" w:hAnsi="Times New Roman" w:cs="Times New Roman"/>
          <w:sz w:val="20"/>
          <w:szCs w:val="20"/>
          <w:lang w:eastAsia="x-none"/>
        </w:rPr>
        <w:t>f</w:t>
      </w:r>
      <w:r w:rsidR="00152FE7" w:rsidRPr="00B907B6">
        <w:rPr>
          <w:rFonts w:ascii="Times New Roman" w:hAnsi="Times New Roman" w:cs="Times New Roman"/>
          <w:sz w:val="20"/>
          <w:szCs w:val="20"/>
          <w:lang w:eastAsia="x-none"/>
        </w:rPr>
        <w:t xml:space="preserve">or </w:t>
      </w:r>
      <w:r w:rsidR="00B01940" w:rsidRPr="00B907B6">
        <w:rPr>
          <w:rFonts w:ascii="Times New Roman" w:hAnsi="Times New Roman" w:cs="Times New Roman"/>
          <w:sz w:val="20"/>
          <w:szCs w:val="20"/>
          <w:lang w:eastAsia="x-none"/>
        </w:rPr>
        <w:t>configured grant</w:t>
      </w:r>
      <w:r w:rsidR="00152FE7" w:rsidRPr="00B907B6">
        <w:rPr>
          <w:rFonts w:ascii="Times New Roman" w:hAnsi="Times New Roman" w:cs="Times New Roman"/>
          <w:sz w:val="20"/>
          <w:szCs w:val="20"/>
          <w:lang w:eastAsia="x-none"/>
        </w:rPr>
        <w:t xml:space="preserve"> transmission</w:t>
      </w:r>
      <w:r w:rsidR="0080663A" w:rsidRPr="00B907B6">
        <w:rPr>
          <w:rFonts w:ascii="Times New Roman" w:hAnsi="Times New Roman" w:cs="Times New Roman"/>
          <w:sz w:val="20"/>
          <w:szCs w:val="20"/>
          <w:lang w:eastAsia="x-none"/>
        </w:rPr>
        <w:t xml:space="preserve"> </w:t>
      </w:r>
      <w:r w:rsidR="00152FE7" w:rsidRPr="00B907B6">
        <w:rPr>
          <w:rFonts w:ascii="Times New Roman" w:hAnsi="Times New Roman" w:cs="Times New Roman"/>
          <w:sz w:val="20"/>
          <w:szCs w:val="20"/>
          <w:lang w:eastAsia="x-none"/>
        </w:rPr>
        <w:t>could be</w:t>
      </w:r>
      <w:r w:rsidR="007373F2" w:rsidRPr="00B907B6">
        <w:rPr>
          <w:rFonts w:ascii="Times New Roman" w:hAnsi="Times New Roman" w:cs="Times New Roman"/>
          <w:sz w:val="20"/>
          <w:szCs w:val="20"/>
          <w:lang w:eastAsia="x-none"/>
        </w:rPr>
        <w:t xml:space="preserve"> also</w:t>
      </w:r>
      <w:r w:rsidR="00E01AEA" w:rsidRPr="00B907B6">
        <w:rPr>
          <w:rFonts w:ascii="Times New Roman" w:hAnsi="Times New Roman" w:cs="Times New Roman"/>
          <w:sz w:val="20"/>
          <w:szCs w:val="20"/>
          <w:lang w:eastAsia="x-none"/>
        </w:rPr>
        <w:t xml:space="preserve"> </w:t>
      </w:r>
      <w:r w:rsidR="00652D24" w:rsidRPr="00B907B6">
        <w:rPr>
          <w:rFonts w:ascii="Times New Roman" w:hAnsi="Times New Roman" w:cs="Times New Roman"/>
          <w:sz w:val="20"/>
          <w:szCs w:val="20"/>
          <w:lang w:eastAsia="x-none"/>
        </w:rPr>
        <w:t xml:space="preserve">considered as </w:t>
      </w:r>
      <w:r w:rsidR="0080663A" w:rsidRPr="00B907B6">
        <w:rPr>
          <w:rFonts w:ascii="Times New Roman" w:hAnsi="Times New Roman" w:cs="Times New Roman"/>
          <w:sz w:val="20"/>
          <w:szCs w:val="20"/>
          <w:lang w:eastAsia="x-none"/>
        </w:rPr>
        <w:t xml:space="preserve">the </w:t>
      </w:r>
      <w:r w:rsidR="00E01AEA" w:rsidRPr="00B907B6">
        <w:rPr>
          <w:rFonts w:ascii="Times New Roman" w:hAnsi="Times New Roman" w:cs="Times New Roman"/>
          <w:sz w:val="20"/>
          <w:szCs w:val="20"/>
          <w:lang w:eastAsia="x-none"/>
        </w:rPr>
        <w:t>CO-related control information</w:t>
      </w:r>
      <w:r w:rsidR="00652D24" w:rsidRPr="00B907B6">
        <w:rPr>
          <w:rFonts w:ascii="Times New Roman" w:hAnsi="Times New Roman" w:cs="Times New Roman"/>
          <w:sz w:val="20"/>
          <w:szCs w:val="20"/>
          <w:lang w:eastAsia="x-none"/>
        </w:rPr>
        <w:t xml:space="preserve"> in the same DCI. </w:t>
      </w:r>
      <w:r w:rsidR="00E01AEA" w:rsidRPr="00B907B6">
        <w:rPr>
          <w:rFonts w:ascii="Times New Roman" w:hAnsi="Times New Roman" w:cs="Times New Roman"/>
          <w:sz w:val="20"/>
          <w:szCs w:val="20"/>
          <w:lang w:eastAsia="x-none"/>
        </w:rPr>
        <w:t xml:space="preserve"> </w:t>
      </w:r>
      <w:r w:rsidR="00152FE7" w:rsidRPr="00B907B6">
        <w:rPr>
          <w:rFonts w:ascii="Times New Roman" w:hAnsi="Times New Roman" w:cs="Times New Roman"/>
          <w:sz w:val="20"/>
          <w:szCs w:val="20"/>
          <w:lang w:eastAsia="x-none"/>
        </w:rPr>
        <w:t xml:space="preserve"> </w:t>
      </w:r>
    </w:p>
    <w:p w14:paraId="2E5206B1" w14:textId="77777777" w:rsidR="00E01AEA" w:rsidRPr="00B907B6" w:rsidRDefault="00E01AEA" w:rsidP="00E934BC">
      <w:pPr>
        <w:widowControl/>
        <w:spacing w:line="280" w:lineRule="exact"/>
        <w:jc w:val="both"/>
        <w:rPr>
          <w:rFonts w:ascii="Times New Roman" w:hAnsi="Times New Roman" w:cs="Times New Roman"/>
          <w:sz w:val="20"/>
          <w:szCs w:val="20"/>
          <w:lang w:eastAsia="x-none"/>
        </w:rPr>
      </w:pPr>
    </w:p>
    <w:p w14:paraId="007F1A63" w14:textId="2CBE1814" w:rsidR="00652D24" w:rsidRPr="00B907B6" w:rsidRDefault="00652D24" w:rsidP="0080663A">
      <w:pPr>
        <w:snapToGrid w:val="0"/>
        <w:spacing w:line="280" w:lineRule="exact"/>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Proposal </w:t>
      </w:r>
      <w:r w:rsidRPr="00B907B6">
        <w:rPr>
          <w:rFonts w:ascii="Times New Roman" w:hAnsi="Times New Roman" w:cs="Times New Roman" w:hint="eastAsia"/>
          <w:b/>
          <w:color w:val="000000" w:themeColor="text1"/>
          <w:sz w:val="20"/>
          <w:szCs w:val="20"/>
        </w:rPr>
        <w:t>1</w:t>
      </w:r>
      <w:r w:rsidRPr="00B907B6">
        <w:rPr>
          <w:rFonts w:ascii="Times New Roman" w:hAnsi="Times New Roman" w:cs="Times New Roman"/>
          <w:b/>
          <w:color w:val="000000" w:themeColor="text1"/>
          <w:sz w:val="20"/>
          <w:szCs w:val="20"/>
        </w:rPr>
        <w:t>: Support the following CO-related control information</w:t>
      </w:r>
      <w:r w:rsidRPr="00B907B6">
        <w:rPr>
          <w:rFonts w:ascii="Times New Roman" w:hAnsi="Times New Roman" w:cs="Times New Roman" w:hint="eastAsia"/>
          <w:b/>
          <w:color w:val="000000" w:themeColor="text1"/>
          <w:sz w:val="20"/>
          <w:szCs w:val="20"/>
        </w:rPr>
        <w:t xml:space="preserve"> to be </w:t>
      </w:r>
      <w:r w:rsidRPr="00B907B6">
        <w:rPr>
          <w:rFonts w:ascii="Times New Roman" w:hAnsi="Times New Roman" w:cs="Times New Roman"/>
          <w:b/>
          <w:color w:val="000000" w:themeColor="text1"/>
          <w:sz w:val="20"/>
          <w:szCs w:val="20"/>
        </w:rPr>
        <w:t>co</w:t>
      </w:r>
      <w:r w:rsidR="00DA6F54" w:rsidRPr="00B907B6">
        <w:rPr>
          <w:rFonts w:ascii="Times New Roman" w:hAnsi="Times New Roman" w:cs="Times New Roman"/>
          <w:b/>
          <w:color w:val="000000" w:themeColor="text1"/>
          <w:sz w:val="20"/>
          <w:szCs w:val="20"/>
        </w:rPr>
        <w:t>nvey</w:t>
      </w:r>
      <w:r w:rsidRPr="00B907B6">
        <w:rPr>
          <w:rFonts w:ascii="Times New Roman" w:hAnsi="Times New Roman" w:cs="Times New Roman"/>
          <w:b/>
          <w:color w:val="000000" w:themeColor="text1"/>
          <w:sz w:val="20"/>
          <w:szCs w:val="20"/>
        </w:rPr>
        <w:t>ed</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in the same DCI and transmitted on GC-PDCCH:</w:t>
      </w:r>
    </w:p>
    <w:p w14:paraId="2C67E897" w14:textId="7B8CF687" w:rsidR="00652D24" w:rsidRPr="00B907B6" w:rsidRDefault="009E0DBC" w:rsidP="00FC10A6">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Time domain channel occupancy structure (e.g., </w:t>
      </w:r>
      <w:r w:rsidR="0080663A" w:rsidRPr="00B907B6">
        <w:rPr>
          <w:rFonts w:ascii="Times New Roman" w:hAnsi="Times New Roman" w:cs="Times New Roman"/>
          <w:b/>
          <w:color w:val="000000" w:themeColor="text1"/>
          <w:sz w:val="20"/>
          <w:szCs w:val="20"/>
        </w:rPr>
        <w:t>SFI-index</w:t>
      </w:r>
      <w:r w:rsidRPr="00B907B6">
        <w:rPr>
          <w:rFonts w:ascii="Times New Roman" w:hAnsi="Times New Roman" w:cs="Times New Roman"/>
          <w:b/>
          <w:color w:val="000000" w:themeColor="text1"/>
          <w:sz w:val="20"/>
          <w:szCs w:val="20"/>
        </w:rPr>
        <w:t xml:space="preserve"> and </w:t>
      </w:r>
      <w:r w:rsidR="0080663A" w:rsidRPr="00B907B6">
        <w:rPr>
          <w:rFonts w:ascii="Times New Roman" w:hAnsi="Times New Roman" w:cs="Times New Roman"/>
          <w:b/>
          <w:color w:val="000000" w:themeColor="text1"/>
          <w:sz w:val="20"/>
          <w:szCs w:val="20"/>
        </w:rPr>
        <w:t>COT/SFI duration/ending</w:t>
      </w:r>
      <w:r w:rsidRPr="00B907B6">
        <w:rPr>
          <w:rFonts w:ascii="Times New Roman" w:hAnsi="Times New Roman" w:cs="Times New Roman"/>
          <w:b/>
          <w:color w:val="000000" w:themeColor="text1"/>
          <w:sz w:val="20"/>
          <w:szCs w:val="20"/>
        </w:rPr>
        <w:t>)</w:t>
      </w:r>
    </w:p>
    <w:p w14:paraId="098622AC" w14:textId="1D2A9A01" w:rsidR="0080663A" w:rsidRPr="00B907B6" w:rsidRDefault="009E0DBC" w:rsidP="00652D24">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Frequency domain channel occupancy structure </w:t>
      </w:r>
      <w:r w:rsidRPr="00B907B6">
        <w:rPr>
          <w:rFonts w:ascii="Times New Roman" w:hAnsi="Times New Roman" w:cs="Times New Roman" w:hint="eastAsia"/>
          <w:b/>
          <w:color w:val="000000" w:themeColor="text1"/>
          <w:sz w:val="20"/>
          <w:szCs w:val="20"/>
        </w:rPr>
        <w:t>(</w:t>
      </w:r>
      <w:r w:rsidRPr="00B907B6">
        <w:rPr>
          <w:rFonts w:ascii="Times New Roman" w:hAnsi="Times New Roman" w:cs="Times New Roman"/>
          <w:b/>
          <w:color w:val="000000" w:themeColor="text1"/>
          <w:sz w:val="20"/>
          <w:szCs w:val="20"/>
        </w:rPr>
        <w:t>e.g., a</w:t>
      </w:r>
      <w:r w:rsidR="0080663A" w:rsidRPr="00B907B6">
        <w:rPr>
          <w:rFonts w:ascii="Times New Roman" w:hAnsi="Times New Roman" w:cs="Times New Roman"/>
          <w:b/>
          <w:color w:val="000000" w:themeColor="text1"/>
          <w:sz w:val="20"/>
          <w:szCs w:val="20"/>
        </w:rPr>
        <w:t xml:space="preserve">vailable subband/carrier </w:t>
      </w:r>
      <w:r w:rsidR="001A1772" w:rsidRPr="00B907B6">
        <w:rPr>
          <w:rFonts w:ascii="Times New Roman" w:hAnsi="Times New Roman" w:cs="Times New Roman"/>
          <w:b/>
          <w:color w:val="000000" w:themeColor="text1"/>
          <w:sz w:val="20"/>
          <w:szCs w:val="20"/>
        </w:rPr>
        <w:t>information</w:t>
      </w:r>
      <w:r w:rsidRPr="00B907B6">
        <w:rPr>
          <w:rFonts w:ascii="Times New Roman" w:hAnsi="Times New Roman" w:cs="Times New Roman"/>
          <w:b/>
          <w:color w:val="000000" w:themeColor="text1"/>
          <w:sz w:val="20"/>
          <w:szCs w:val="20"/>
        </w:rPr>
        <w:t>)</w:t>
      </w:r>
    </w:p>
    <w:p w14:paraId="73A41203" w14:textId="542CEF49" w:rsidR="0080663A" w:rsidRPr="00B907B6" w:rsidRDefault="0080663A" w:rsidP="00652D24">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PDCCH monitoring occasion indication</w:t>
      </w:r>
    </w:p>
    <w:p w14:paraId="6BCE9674" w14:textId="5E102D46" w:rsidR="0080663A" w:rsidRPr="00B907B6" w:rsidRDefault="0080663A" w:rsidP="00652D24">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COT sharing </w:t>
      </w:r>
      <w:r w:rsidR="00962A2B">
        <w:rPr>
          <w:rFonts w:ascii="Times New Roman" w:hAnsi="Times New Roman" w:cs="Times New Roman"/>
          <w:b/>
          <w:color w:val="000000" w:themeColor="text1"/>
          <w:sz w:val="20"/>
          <w:szCs w:val="20"/>
        </w:rPr>
        <w:t>information</w:t>
      </w:r>
      <w:r w:rsidRPr="00B907B6">
        <w:rPr>
          <w:rFonts w:ascii="Times New Roman" w:hAnsi="Times New Roman" w:cs="Times New Roman"/>
          <w:b/>
          <w:color w:val="000000" w:themeColor="text1"/>
          <w:sz w:val="20"/>
          <w:szCs w:val="20"/>
        </w:rPr>
        <w:t xml:space="preserve"> for configured grant transmission</w:t>
      </w:r>
    </w:p>
    <w:p w14:paraId="31786EC9" w14:textId="77777777" w:rsidR="0080663A" w:rsidRPr="00B907B6" w:rsidRDefault="0080663A" w:rsidP="0080663A">
      <w:pPr>
        <w:widowControl/>
        <w:spacing w:before="240" w:line="280" w:lineRule="exact"/>
        <w:jc w:val="both"/>
        <w:rPr>
          <w:rFonts w:ascii="Times New Roman" w:hAnsi="Times New Roman" w:cs="Times New Roman"/>
          <w:sz w:val="20"/>
          <w:szCs w:val="20"/>
        </w:rPr>
      </w:pPr>
    </w:p>
    <w:p w14:paraId="135CDEED" w14:textId="55D82AB1" w:rsidR="0080663A" w:rsidRPr="00B907B6" w:rsidRDefault="0080663A" w:rsidP="00E934BC">
      <w:pPr>
        <w:widowControl/>
        <w:spacing w:line="280" w:lineRule="exact"/>
        <w:jc w:val="both"/>
        <w:rPr>
          <w:rFonts w:ascii="Times New Roman" w:hAnsi="Times New Roman" w:cs="Times New Roman"/>
          <w:sz w:val="20"/>
          <w:szCs w:val="20"/>
        </w:rPr>
      </w:pPr>
      <w:r w:rsidRPr="00B907B6">
        <w:rPr>
          <w:rFonts w:ascii="Times New Roman" w:hAnsi="Times New Roman" w:cs="Times New Roman"/>
          <w:sz w:val="20"/>
          <w:szCs w:val="20"/>
        </w:rPr>
        <w:t xml:space="preserve">Current NR Rel-15 provides </w:t>
      </w:r>
      <w:r w:rsidR="00FF08AB" w:rsidRPr="00B907B6">
        <w:rPr>
          <w:rFonts w:ascii="Times New Roman" w:hAnsi="Times New Roman" w:cs="Times New Roman"/>
          <w:sz w:val="20"/>
          <w:szCs w:val="20"/>
        </w:rPr>
        <w:t>SFI-index</w:t>
      </w:r>
      <w:r w:rsidR="00FF08AB" w:rsidRPr="00B907B6">
        <w:rPr>
          <w:rFonts w:ascii="Times New Roman" w:hAnsi="Times New Roman" w:cs="Times New Roman" w:hint="eastAsia"/>
          <w:sz w:val="20"/>
          <w:szCs w:val="20"/>
        </w:rPr>
        <w:t xml:space="preserve"> </w:t>
      </w:r>
      <w:r w:rsidR="00FF08AB" w:rsidRPr="00B907B6">
        <w:rPr>
          <w:rFonts w:ascii="Times New Roman" w:hAnsi="Times New Roman" w:cs="Times New Roman"/>
          <w:sz w:val="20"/>
          <w:szCs w:val="20"/>
          <w:lang w:eastAsia="x-none"/>
        </w:rPr>
        <w:t>per cell</w:t>
      </w:r>
      <w:r w:rsidR="007373F2" w:rsidRPr="00B907B6">
        <w:rPr>
          <w:rFonts w:ascii="Times New Roman" w:hAnsi="Times New Roman" w:cs="Times New Roman"/>
          <w:sz w:val="20"/>
          <w:szCs w:val="20"/>
          <w:lang w:eastAsia="x-none"/>
        </w:rPr>
        <w:t xml:space="preserve"> in DCI format 2_0</w:t>
      </w:r>
      <w:r w:rsidR="00FF08AB" w:rsidRPr="00B907B6">
        <w:rPr>
          <w:rFonts w:ascii="Times New Roman" w:hAnsi="Times New Roman" w:cs="Times New Roman"/>
          <w:sz w:val="20"/>
          <w:szCs w:val="20"/>
          <w:lang w:eastAsia="x-none"/>
        </w:rPr>
        <w:t xml:space="preserve">. Similarly, in NR-U, </w:t>
      </w:r>
      <w:r w:rsidR="00E01AEA" w:rsidRPr="00B907B6">
        <w:rPr>
          <w:rFonts w:ascii="Times New Roman" w:hAnsi="Times New Roman" w:cs="Times New Roman"/>
          <w:sz w:val="20"/>
          <w:szCs w:val="20"/>
          <w:lang w:eastAsia="x-none"/>
        </w:rPr>
        <w:t>CO</w:t>
      </w:r>
      <w:r w:rsidR="00FF08AB" w:rsidRPr="00B907B6">
        <w:rPr>
          <w:rFonts w:ascii="Times New Roman" w:hAnsi="Times New Roman" w:cs="Times New Roman"/>
          <w:sz w:val="20"/>
          <w:szCs w:val="20"/>
          <w:lang w:eastAsia="x-none"/>
        </w:rPr>
        <w:t>-related control information</w:t>
      </w:r>
      <w:r w:rsidR="007373F2" w:rsidRPr="00B907B6">
        <w:rPr>
          <w:rFonts w:ascii="Times New Roman" w:hAnsi="Times New Roman" w:cs="Times New Roman"/>
          <w:sz w:val="20"/>
          <w:szCs w:val="20"/>
          <w:lang w:eastAsia="x-none"/>
        </w:rPr>
        <w:t xml:space="preserve"> could be</w:t>
      </w:r>
      <w:r w:rsidR="00E01AEA" w:rsidRPr="00B907B6">
        <w:rPr>
          <w:rFonts w:ascii="Times New Roman" w:hAnsi="Times New Roman" w:cs="Times New Roman"/>
          <w:sz w:val="20"/>
          <w:szCs w:val="20"/>
          <w:lang w:eastAsia="x-none"/>
        </w:rPr>
        <w:t xml:space="preserve"> also</w:t>
      </w:r>
      <w:r w:rsidR="0063189F">
        <w:rPr>
          <w:rFonts w:ascii="Times New Roman" w:hAnsi="Times New Roman" w:cs="Times New Roman"/>
          <w:sz w:val="20"/>
          <w:szCs w:val="20"/>
          <w:lang w:eastAsia="x-none"/>
        </w:rPr>
        <w:t xml:space="preserve"> provided per cel</w:t>
      </w:r>
      <w:r w:rsidR="0063189F">
        <w:rPr>
          <w:rFonts w:ascii="Times New Roman" w:hAnsi="Times New Roman" w:cs="Times New Roman"/>
          <w:sz w:val="20"/>
          <w:szCs w:val="20"/>
        </w:rPr>
        <w:t>l.</w:t>
      </w:r>
      <w:r w:rsidRPr="00B907B6">
        <w:rPr>
          <w:rFonts w:hint="eastAsia"/>
          <w:sz w:val="20"/>
          <w:szCs w:val="20"/>
        </w:rPr>
        <w:t xml:space="preserve"> </w:t>
      </w:r>
      <w:r w:rsidRPr="00B907B6">
        <w:rPr>
          <w:rFonts w:ascii="Times New Roman" w:hAnsi="Times New Roman" w:cs="Times New Roman" w:hint="eastAsia"/>
          <w:sz w:val="20"/>
          <w:szCs w:val="20"/>
        </w:rPr>
        <w:t>F</w:t>
      </w:r>
      <w:r w:rsidRPr="00B907B6">
        <w:rPr>
          <w:rFonts w:ascii="Times New Roman" w:hAnsi="Times New Roman" w:cs="Times New Roman"/>
          <w:sz w:val="20"/>
          <w:szCs w:val="20"/>
        </w:rPr>
        <w:t xml:space="preserve">or </w:t>
      </w:r>
      <w:r w:rsidR="009E0DBC" w:rsidRPr="00B907B6">
        <w:rPr>
          <w:rFonts w:ascii="Times New Roman" w:hAnsi="Times New Roman" w:cs="Times New Roman"/>
          <w:sz w:val="20"/>
          <w:szCs w:val="20"/>
        </w:rPr>
        <w:t>frequency domain channel occupancy structure</w:t>
      </w:r>
      <w:r w:rsidRPr="00B907B6">
        <w:rPr>
          <w:rFonts w:ascii="Times New Roman" w:hAnsi="Times New Roman" w:cs="Times New Roman"/>
          <w:sz w:val="20"/>
          <w:szCs w:val="20"/>
        </w:rPr>
        <w:t>,</w:t>
      </w:r>
      <w:r w:rsidRPr="00B907B6">
        <w:rPr>
          <w:rFonts w:ascii="Times New Roman" w:hAnsi="Times New Roman" w:cs="Times New Roman"/>
          <w:sz w:val="20"/>
          <w:szCs w:val="20"/>
          <w:lang w:eastAsia="x-none"/>
        </w:rPr>
        <w:t xml:space="preserve"> </w:t>
      </w:r>
      <w:r w:rsidR="004C2BD5" w:rsidRPr="00B907B6">
        <w:rPr>
          <w:rFonts w:ascii="Times New Roman" w:hAnsi="Times New Roman" w:cs="Times New Roman"/>
          <w:sz w:val="20"/>
          <w:szCs w:val="20"/>
          <w:lang w:eastAsia="x-none"/>
        </w:rPr>
        <w:t xml:space="preserve">a bitmap with length equal to the number of </w:t>
      </w:r>
      <w:r w:rsidR="009E0DBC" w:rsidRPr="00B907B6">
        <w:rPr>
          <w:rFonts w:ascii="Times New Roman" w:hAnsi="Times New Roman" w:cs="Times New Roman"/>
          <w:sz w:val="20"/>
          <w:szCs w:val="20"/>
          <w:lang w:eastAsia="x-none"/>
        </w:rPr>
        <w:t xml:space="preserve">configured </w:t>
      </w:r>
      <w:r w:rsidR="004C2BD5" w:rsidRPr="00B907B6">
        <w:rPr>
          <w:rFonts w:ascii="Times New Roman" w:hAnsi="Times New Roman" w:cs="Times New Roman"/>
          <w:sz w:val="20"/>
          <w:szCs w:val="20"/>
          <w:lang w:eastAsia="x-none"/>
        </w:rPr>
        <w:t xml:space="preserve">LBT subbands </w:t>
      </w:r>
      <w:r w:rsidR="009E0DBC" w:rsidRPr="00B907B6">
        <w:rPr>
          <w:rFonts w:ascii="Times New Roman" w:hAnsi="Times New Roman" w:cs="Times New Roman"/>
          <w:sz w:val="20"/>
          <w:szCs w:val="20"/>
          <w:lang w:eastAsia="x-none"/>
        </w:rPr>
        <w:t>in a</w:t>
      </w:r>
      <w:r w:rsidR="004C2BD5" w:rsidRPr="00B907B6">
        <w:rPr>
          <w:rFonts w:ascii="Times New Roman" w:hAnsi="Times New Roman" w:cs="Times New Roman"/>
          <w:sz w:val="20"/>
          <w:szCs w:val="20"/>
          <w:lang w:eastAsia="x-none"/>
        </w:rPr>
        <w:t xml:space="preserve"> cell</w:t>
      </w:r>
      <w:r w:rsidR="009E0DBC" w:rsidRPr="00B907B6">
        <w:rPr>
          <w:rFonts w:ascii="Times New Roman" w:hAnsi="Times New Roman" w:cs="Times New Roman"/>
          <w:sz w:val="20"/>
          <w:szCs w:val="20"/>
          <w:lang w:eastAsia="x-none"/>
        </w:rPr>
        <w:t xml:space="preserve"> can</w:t>
      </w:r>
      <w:r w:rsidR="003020C7" w:rsidRPr="00B907B6">
        <w:rPr>
          <w:rFonts w:ascii="Times New Roman" w:hAnsi="Times New Roman" w:cs="Times New Roman"/>
          <w:sz w:val="20"/>
          <w:szCs w:val="20"/>
          <w:lang w:eastAsia="x-none"/>
        </w:rPr>
        <w:t xml:space="preserve"> be</w:t>
      </w:r>
      <w:r w:rsidR="009E0DBC" w:rsidRPr="00B907B6">
        <w:rPr>
          <w:rFonts w:ascii="Times New Roman" w:hAnsi="Times New Roman" w:cs="Times New Roman"/>
          <w:sz w:val="20"/>
          <w:szCs w:val="20"/>
          <w:lang w:eastAsia="x-none"/>
        </w:rPr>
        <w:t xml:space="preserve"> provided per cell, where each bit in the bitmap</w:t>
      </w:r>
      <w:r w:rsidR="009E0DBC" w:rsidRPr="00B907B6">
        <w:rPr>
          <w:rFonts w:asciiTheme="majorHAnsi" w:hAnsi="Calibri"/>
          <w:color w:val="000000" w:themeColor="text1"/>
          <w:kern w:val="24"/>
          <w:sz w:val="20"/>
          <w:szCs w:val="20"/>
        </w:rPr>
        <w:t xml:space="preserve"> </w:t>
      </w:r>
      <w:r w:rsidR="009E0DBC" w:rsidRPr="00B907B6">
        <w:rPr>
          <w:rFonts w:ascii="Times New Roman" w:hAnsi="Times New Roman" w:cs="Times New Roman"/>
          <w:sz w:val="20"/>
          <w:szCs w:val="20"/>
          <w:lang w:eastAsia="x-none"/>
        </w:rPr>
        <w:t xml:space="preserve">represents whether the </w:t>
      </w:r>
      <w:r w:rsidR="009E0DBC" w:rsidRPr="00B907B6">
        <w:rPr>
          <w:rFonts w:ascii="Times New Roman" w:hAnsi="Times New Roman" w:cs="Times New Roman"/>
          <w:sz w:val="20"/>
          <w:szCs w:val="20"/>
        </w:rPr>
        <w:t xml:space="preserve">corresponding </w:t>
      </w:r>
      <w:r w:rsidR="009E0DBC" w:rsidRPr="00B907B6">
        <w:rPr>
          <w:rFonts w:ascii="Times New Roman" w:hAnsi="Times New Roman" w:cs="Times New Roman"/>
          <w:sz w:val="20"/>
          <w:szCs w:val="20"/>
          <w:lang w:eastAsia="x-none"/>
        </w:rPr>
        <w:t>LBT subband</w:t>
      </w:r>
      <w:r w:rsidR="009E0DBC" w:rsidRPr="00B907B6">
        <w:rPr>
          <w:rFonts w:ascii="Times New Roman" w:hAnsi="Times New Roman" w:cs="Times New Roman" w:hint="eastAsia"/>
          <w:sz w:val="20"/>
          <w:szCs w:val="20"/>
        </w:rPr>
        <w:t xml:space="preserve"> </w:t>
      </w:r>
      <w:r w:rsidR="009E0DBC" w:rsidRPr="00B907B6">
        <w:rPr>
          <w:rFonts w:ascii="Times New Roman" w:hAnsi="Times New Roman" w:cs="Times New Roman"/>
          <w:sz w:val="20"/>
          <w:szCs w:val="20"/>
          <w:lang w:eastAsia="x-none"/>
        </w:rPr>
        <w:t xml:space="preserve">in </w:t>
      </w:r>
      <w:r w:rsidR="003020C7" w:rsidRPr="00B907B6">
        <w:rPr>
          <w:rFonts w:ascii="Times New Roman" w:hAnsi="Times New Roman" w:cs="Times New Roman"/>
          <w:sz w:val="20"/>
          <w:szCs w:val="20"/>
          <w:lang w:eastAsia="x-none"/>
        </w:rPr>
        <w:t xml:space="preserve">the </w:t>
      </w:r>
      <w:r w:rsidR="003020C7" w:rsidRPr="00B907B6">
        <w:rPr>
          <w:rFonts w:ascii="Times New Roman" w:hAnsi="Times New Roman" w:cs="Times New Roman"/>
          <w:sz w:val="20"/>
          <w:szCs w:val="20"/>
        </w:rPr>
        <w:t>corresponding</w:t>
      </w:r>
      <w:r w:rsidR="009E0DBC" w:rsidRPr="00B907B6">
        <w:rPr>
          <w:rFonts w:ascii="Times New Roman" w:hAnsi="Times New Roman" w:cs="Times New Roman"/>
          <w:sz w:val="20"/>
          <w:szCs w:val="20"/>
          <w:lang w:eastAsia="x-none"/>
        </w:rPr>
        <w:t xml:space="preserve"> carrier is available</w:t>
      </w:r>
      <w:r w:rsidR="003020C7" w:rsidRPr="00B907B6">
        <w:rPr>
          <w:rFonts w:ascii="Times New Roman" w:hAnsi="Times New Roman" w:cs="Times New Roman"/>
          <w:sz w:val="20"/>
          <w:szCs w:val="20"/>
          <w:lang w:eastAsia="x-none"/>
        </w:rPr>
        <w:t xml:space="preserve"> for downlink reception</w:t>
      </w:r>
      <w:r w:rsidR="009E0DBC" w:rsidRPr="00B907B6">
        <w:rPr>
          <w:rFonts w:ascii="Times New Roman" w:hAnsi="Times New Roman" w:cs="Times New Roman"/>
          <w:sz w:val="20"/>
          <w:szCs w:val="20"/>
          <w:lang w:eastAsia="x-none"/>
        </w:rPr>
        <w:t>.</w:t>
      </w:r>
      <w:r w:rsidR="009E0DBC" w:rsidRPr="00B907B6">
        <w:rPr>
          <w:rFonts w:ascii="Times New Roman" w:hAnsi="Times New Roman" w:cs="Times New Roman"/>
          <w:sz w:val="20"/>
          <w:szCs w:val="20"/>
        </w:rPr>
        <w:t xml:space="preserve"> If there is only one bit is indicated for a cell, the bit </w:t>
      </w:r>
      <w:r w:rsidR="009E0DBC" w:rsidRPr="00B907B6">
        <w:rPr>
          <w:rFonts w:ascii="Times New Roman" w:hAnsi="Times New Roman" w:cs="Times New Roman"/>
          <w:sz w:val="20"/>
          <w:szCs w:val="20"/>
          <w:lang w:eastAsia="x-none"/>
        </w:rPr>
        <w:t xml:space="preserve">represents whether the </w:t>
      </w:r>
      <w:r w:rsidR="003020C7" w:rsidRPr="00B907B6">
        <w:rPr>
          <w:rFonts w:ascii="Times New Roman" w:hAnsi="Times New Roman" w:cs="Times New Roman"/>
          <w:sz w:val="20"/>
          <w:szCs w:val="20"/>
        </w:rPr>
        <w:t>corresponding</w:t>
      </w:r>
      <w:r w:rsidR="003020C7" w:rsidRPr="00B907B6">
        <w:rPr>
          <w:rFonts w:ascii="Times New Roman" w:hAnsi="Times New Roman" w:cs="Times New Roman"/>
          <w:sz w:val="20"/>
          <w:szCs w:val="20"/>
          <w:lang w:eastAsia="x-none"/>
        </w:rPr>
        <w:t xml:space="preserve"> </w:t>
      </w:r>
      <w:r w:rsidR="009E0DBC" w:rsidRPr="00B907B6">
        <w:rPr>
          <w:rFonts w:ascii="Times New Roman" w:hAnsi="Times New Roman" w:cs="Times New Roman"/>
          <w:sz w:val="20"/>
          <w:szCs w:val="20"/>
          <w:lang w:eastAsia="x-none"/>
        </w:rPr>
        <w:t>carrier is available</w:t>
      </w:r>
      <w:r w:rsidR="009E0DBC" w:rsidRPr="00B907B6">
        <w:rPr>
          <w:rFonts w:ascii="Times New Roman" w:hAnsi="Times New Roman" w:cs="Times New Roman"/>
          <w:sz w:val="20"/>
          <w:szCs w:val="20"/>
        </w:rPr>
        <w:t xml:space="preserve"> </w:t>
      </w:r>
      <w:r w:rsidR="003020C7" w:rsidRPr="00B907B6">
        <w:rPr>
          <w:rFonts w:ascii="Times New Roman" w:hAnsi="Times New Roman" w:cs="Times New Roman"/>
          <w:sz w:val="20"/>
          <w:szCs w:val="20"/>
          <w:lang w:eastAsia="x-none"/>
        </w:rPr>
        <w:t>for downlink reception.</w:t>
      </w:r>
      <w:r w:rsidR="009E0DBC" w:rsidRPr="00B907B6">
        <w:rPr>
          <w:rFonts w:ascii="Times New Roman" w:hAnsi="Times New Roman" w:cs="Times New Roman"/>
          <w:sz w:val="20"/>
          <w:szCs w:val="20"/>
          <w:lang w:eastAsia="x-none"/>
        </w:rPr>
        <w:t xml:space="preserve">  </w:t>
      </w:r>
      <w:r w:rsidR="004C2BD5" w:rsidRPr="00B907B6">
        <w:rPr>
          <w:rFonts w:ascii="Times New Roman" w:hAnsi="Times New Roman" w:cs="Times New Roman"/>
          <w:sz w:val="20"/>
          <w:szCs w:val="20"/>
          <w:lang w:eastAsia="x-none"/>
        </w:rPr>
        <w:t xml:space="preserve">  </w:t>
      </w:r>
    </w:p>
    <w:p w14:paraId="0B02B22C" w14:textId="77777777" w:rsidR="0080663A" w:rsidRPr="00B907B6" w:rsidRDefault="0080663A" w:rsidP="00E934BC">
      <w:pPr>
        <w:widowControl/>
        <w:spacing w:line="280" w:lineRule="exact"/>
        <w:jc w:val="both"/>
        <w:rPr>
          <w:rFonts w:ascii="Times New Roman" w:hAnsi="Times New Roman" w:cs="Times New Roman"/>
          <w:sz w:val="20"/>
          <w:szCs w:val="20"/>
        </w:rPr>
      </w:pPr>
    </w:p>
    <w:p w14:paraId="0179ECEC" w14:textId="4B95788D" w:rsidR="0080663A" w:rsidRPr="00B907B6" w:rsidRDefault="003020C7" w:rsidP="003020C7">
      <w:pPr>
        <w:snapToGrid w:val="0"/>
        <w:spacing w:line="280" w:lineRule="exact"/>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Proposal 2: A bitmap </w:t>
      </w:r>
      <w:r w:rsidRPr="00B907B6">
        <w:rPr>
          <w:rFonts w:ascii="Times New Roman" w:hAnsi="Times New Roman" w:cs="Times New Roman" w:hint="eastAsia"/>
          <w:b/>
          <w:color w:val="000000" w:themeColor="text1"/>
          <w:sz w:val="20"/>
          <w:szCs w:val="20"/>
        </w:rPr>
        <w:t xml:space="preserve">for </w:t>
      </w:r>
      <w:r w:rsidR="00887050" w:rsidRPr="00B907B6">
        <w:rPr>
          <w:rFonts w:ascii="Times New Roman" w:hAnsi="Times New Roman" w:cs="Times New Roman"/>
          <w:b/>
          <w:color w:val="000000" w:themeColor="text1"/>
          <w:sz w:val="20"/>
          <w:szCs w:val="20"/>
        </w:rPr>
        <w:t xml:space="preserve">indicating </w:t>
      </w:r>
      <w:r w:rsidRPr="00B907B6">
        <w:rPr>
          <w:rFonts w:ascii="Times New Roman" w:hAnsi="Times New Roman" w:cs="Times New Roman"/>
          <w:b/>
          <w:color w:val="000000" w:themeColor="text1"/>
          <w:sz w:val="20"/>
          <w:szCs w:val="20"/>
        </w:rPr>
        <w:t xml:space="preserve">available subband/carrier </w:t>
      </w:r>
      <w:r w:rsidR="001A1772" w:rsidRPr="00B907B6">
        <w:rPr>
          <w:rFonts w:ascii="Times New Roman" w:hAnsi="Times New Roman" w:cs="Times New Roman"/>
          <w:b/>
          <w:color w:val="000000" w:themeColor="text1"/>
          <w:sz w:val="20"/>
          <w:szCs w:val="20"/>
        </w:rPr>
        <w:t xml:space="preserve">information </w:t>
      </w:r>
      <w:r w:rsidR="00887050" w:rsidRPr="00B907B6">
        <w:rPr>
          <w:rFonts w:ascii="Times New Roman" w:hAnsi="Times New Roman" w:cs="Times New Roman"/>
          <w:b/>
          <w:color w:val="000000" w:themeColor="text1"/>
          <w:sz w:val="20"/>
          <w:szCs w:val="20"/>
        </w:rPr>
        <w:t>can</w:t>
      </w:r>
      <w:r w:rsidRPr="00B907B6">
        <w:rPr>
          <w:rFonts w:ascii="Times New Roman" w:hAnsi="Times New Roman" w:cs="Times New Roman"/>
          <w:b/>
          <w:color w:val="000000" w:themeColor="text1"/>
          <w:sz w:val="20"/>
          <w:szCs w:val="20"/>
        </w:rPr>
        <w:t xml:space="preserve"> be provided per cell in DCI and transmitted on GC-PDCCH</w:t>
      </w:r>
      <w:r w:rsidRPr="00B907B6">
        <w:rPr>
          <w:rFonts w:ascii="Times New Roman" w:hAnsi="Times New Roman" w:cs="Times New Roman" w:hint="eastAsia"/>
          <w:b/>
          <w:color w:val="000000" w:themeColor="text1"/>
          <w:sz w:val="20"/>
          <w:szCs w:val="20"/>
        </w:rPr>
        <w:t xml:space="preserve"> </w:t>
      </w:r>
    </w:p>
    <w:p w14:paraId="59E7E8A5" w14:textId="6FCD30F2" w:rsidR="003020C7" w:rsidRPr="00B907B6" w:rsidRDefault="003020C7" w:rsidP="003020C7">
      <w:pPr>
        <w:pStyle w:val="a3"/>
        <w:numPr>
          <w:ilvl w:val="0"/>
          <w:numId w:val="37"/>
        </w:numPr>
        <w:snapToGrid w:val="0"/>
        <w:spacing w:line="280" w:lineRule="exact"/>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If more than one bits are provided for a cell, each bit represents whether the corresponding LBT subband</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in the corresponding carrier is available for downlink reception</w:t>
      </w:r>
    </w:p>
    <w:p w14:paraId="28D9F31C" w14:textId="3A2F5ECD" w:rsidR="003020C7" w:rsidRPr="00B907B6" w:rsidRDefault="003020C7" w:rsidP="003020C7">
      <w:pPr>
        <w:pStyle w:val="a3"/>
        <w:numPr>
          <w:ilvl w:val="0"/>
          <w:numId w:val="37"/>
        </w:numPr>
        <w:snapToGrid w:val="0"/>
        <w:spacing w:line="280" w:lineRule="exact"/>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If only one bit is provided for a cell, the bit represents whether the corresponding carrier is available for downlink reception</w:t>
      </w:r>
    </w:p>
    <w:p w14:paraId="0C6ACE02" w14:textId="17480482" w:rsidR="00152FE7" w:rsidRPr="00B907B6" w:rsidRDefault="000D6363" w:rsidP="00E934BC">
      <w:pPr>
        <w:widowControl/>
        <w:spacing w:line="280" w:lineRule="exact"/>
        <w:jc w:val="both"/>
        <w:rPr>
          <w:rFonts w:ascii="Times New Roman" w:hAnsi="Times New Roman" w:cs="Times New Roman"/>
          <w:sz w:val="20"/>
          <w:szCs w:val="20"/>
          <w:lang w:eastAsia="x-none"/>
        </w:rPr>
      </w:pPr>
      <w:r w:rsidRPr="00B907B6">
        <w:rPr>
          <w:rFonts w:ascii="Times New Roman" w:hAnsi="Times New Roman" w:cs="Times New Roman"/>
          <w:sz w:val="20"/>
          <w:szCs w:val="20"/>
          <w:lang w:eastAsia="x-none"/>
        </w:rPr>
        <w:lastRenderedPageBreak/>
        <w:t>Since a</w:t>
      </w:r>
      <w:r w:rsidR="00E16AC6" w:rsidRPr="00B907B6">
        <w:rPr>
          <w:rFonts w:ascii="Times New Roman" w:hAnsi="Times New Roman" w:cs="Times New Roman" w:hint="eastAsia"/>
          <w:sz w:val="20"/>
          <w:szCs w:val="20"/>
        </w:rPr>
        <w:t xml:space="preserve">n </w:t>
      </w:r>
      <w:r w:rsidR="00E16AC6" w:rsidRPr="00B907B6">
        <w:rPr>
          <w:rFonts w:ascii="Times New Roman" w:hAnsi="Times New Roman" w:cs="Times New Roman"/>
          <w:sz w:val="20"/>
          <w:szCs w:val="20"/>
        </w:rPr>
        <w:t>unlicensed</w:t>
      </w:r>
      <w:r w:rsidR="00152FE7" w:rsidRPr="00B907B6">
        <w:rPr>
          <w:rFonts w:ascii="Times New Roman" w:hAnsi="Times New Roman" w:cs="Times New Roman"/>
          <w:sz w:val="20"/>
          <w:szCs w:val="20"/>
          <w:lang w:eastAsia="x-none"/>
        </w:rPr>
        <w:t xml:space="preserve"> carrier may be configured with multiple LBT subbands</w:t>
      </w:r>
      <w:r w:rsidRPr="00B907B6">
        <w:rPr>
          <w:rFonts w:ascii="Times New Roman" w:hAnsi="Times New Roman" w:cs="Times New Roman"/>
          <w:sz w:val="20"/>
          <w:szCs w:val="20"/>
          <w:lang w:eastAsia="x-none"/>
        </w:rPr>
        <w:t xml:space="preserve"> </w:t>
      </w:r>
      <w:r w:rsidR="00152FE7" w:rsidRPr="00B907B6">
        <w:rPr>
          <w:rFonts w:ascii="Times New Roman" w:hAnsi="Times New Roman" w:cs="Times New Roman"/>
          <w:sz w:val="20"/>
          <w:szCs w:val="20"/>
          <w:lang w:eastAsia="x-none"/>
        </w:rPr>
        <w:t>and LBT can be performed in unit(s) of LBT subband</w:t>
      </w:r>
      <w:r w:rsidRPr="00B907B6">
        <w:rPr>
          <w:rFonts w:ascii="Times New Roman" w:hAnsi="Times New Roman" w:cs="Times New Roman"/>
          <w:sz w:val="20"/>
          <w:szCs w:val="20"/>
          <w:lang w:eastAsia="x-none"/>
        </w:rPr>
        <w:t xml:space="preserve">, </w:t>
      </w:r>
      <w:r w:rsidR="00152FE7" w:rsidRPr="00B907B6">
        <w:rPr>
          <w:rFonts w:ascii="Times New Roman" w:hAnsi="Times New Roman" w:cs="Times New Roman"/>
          <w:sz w:val="20"/>
          <w:szCs w:val="20"/>
          <w:lang w:eastAsia="x-none"/>
        </w:rPr>
        <w:t>COTs initiated in these LBT subbands may be acquired with different priority classes or st</w:t>
      </w:r>
      <w:r w:rsidRPr="00B907B6">
        <w:rPr>
          <w:rFonts w:ascii="Times New Roman" w:hAnsi="Times New Roman" w:cs="Times New Roman"/>
          <w:sz w:val="20"/>
          <w:szCs w:val="20"/>
          <w:lang w:eastAsia="x-none"/>
        </w:rPr>
        <w:t>art/end at different positions. T</w:t>
      </w:r>
      <w:r w:rsidR="00152FE7" w:rsidRPr="00B907B6">
        <w:rPr>
          <w:rFonts w:ascii="Times New Roman" w:hAnsi="Times New Roman" w:cs="Times New Roman"/>
          <w:sz w:val="20"/>
          <w:szCs w:val="20"/>
          <w:lang w:eastAsia="x-none"/>
        </w:rPr>
        <w:t xml:space="preserve">he gNB may have different </w:t>
      </w:r>
      <w:r w:rsidR="00873CEE" w:rsidRPr="00B907B6">
        <w:rPr>
          <w:rFonts w:ascii="Times New Roman" w:hAnsi="Times New Roman" w:cs="Times New Roman"/>
          <w:sz w:val="20"/>
          <w:szCs w:val="20"/>
          <w:lang w:eastAsia="x-none"/>
        </w:rPr>
        <w:t>CO</w:t>
      </w:r>
      <w:r w:rsidR="00152FE7" w:rsidRPr="00B907B6">
        <w:rPr>
          <w:rFonts w:ascii="Times New Roman" w:hAnsi="Times New Roman" w:cs="Times New Roman"/>
          <w:sz w:val="20"/>
          <w:szCs w:val="20"/>
          <w:lang w:eastAsia="x-none"/>
        </w:rPr>
        <w:t>-related control information</w:t>
      </w:r>
      <w:r w:rsidR="00B01940" w:rsidRPr="00B907B6">
        <w:rPr>
          <w:rFonts w:ascii="Times New Roman" w:hAnsi="Times New Roman" w:cs="Times New Roman"/>
          <w:sz w:val="20"/>
          <w:szCs w:val="20"/>
          <w:lang w:eastAsia="x-none"/>
        </w:rPr>
        <w:t xml:space="preserve"> (e.g.,</w:t>
      </w:r>
      <w:r w:rsidR="00B01940" w:rsidRPr="00B907B6">
        <w:rPr>
          <w:rFonts w:ascii="Times New Roman" w:hAnsi="Times New Roman" w:cs="Times New Roman" w:hint="eastAsia"/>
          <w:sz w:val="20"/>
          <w:szCs w:val="20"/>
        </w:rPr>
        <w:t xml:space="preserve"> </w:t>
      </w:r>
      <w:r w:rsidR="00B01940" w:rsidRPr="00B907B6">
        <w:rPr>
          <w:rFonts w:ascii="Times New Roman" w:hAnsi="Times New Roman" w:cs="Times New Roman"/>
          <w:sz w:val="20"/>
          <w:szCs w:val="20"/>
          <w:lang w:eastAsia="x-none"/>
        </w:rPr>
        <w:t>COT/SFI duration/ending indication</w:t>
      </w:r>
      <w:r w:rsidR="00B01940" w:rsidRPr="00B907B6">
        <w:rPr>
          <w:rFonts w:ascii="Times New Roman" w:hAnsi="Times New Roman" w:cs="Times New Roman" w:hint="eastAsia"/>
          <w:sz w:val="20"/>
          <w:szCs w:val="20"/>
        </w:rPr>
        <w:t xml:space="preserve"> </w:t>
      </w:r>
      <w:r w:rsidR="00B01940" w:rsidRPr="00B907B6">
        <w:rPr>
          <w:rFonts w:ascii="Times New Roman" w:hAnsi="Times New Roman" w:cs="Times New Roman"/>
          <w:sz w:val="20"/>
          <w:szCs w:val="20"/>
        </w:rPr>
        <w:t>and</w:t>
      </w:r>
      <w:r w:rsidR="00B01940" w:rsidRPr="00B907B6">
        <w:rPr>
          <w:rFonts w:ascii="Times New Roman" w:hAnsi="Times New Roman" w:cs="Times New Roman"/>
          <w:sz w:val="20"/>
          <w:szCs w:val="20"/>
          <w:lang w:eastAsia="x-none"/>
        </w:rPr>
        <w:t xml:space="preserve"> PDCCH monitoring occasion indication)</w:t>
      </w:r>
      <w:r w:rsidR="00152FE7" w:rsidRPr="00B907B6">
        <w:rPr>
          <w:rFonts w:ascii="Times New Roman" w:hAnsi="Times New Roman" w:cs="Times New Roman"/>
          <w:sz w:val="20"/>
          <w:szCs w:val="20"/>
          <w:lang w:eastAsia="x-none"/>
        </w:rPr>
        <w:t xml:space="preserve"> for</w:t>
      </w:r>
      <w:r w:rsidRPr="00B907B6">
        <w:rPr>
          <w:rFonts w:ascii="Times New Roman" w:hAnsi="Times New Roman" w:cs="Times New Roman"/>
          <w:sz w:val="20"/>
          <w:szCs w:val="20"/>
          <w:lang w:eastAsia="x-none"/>
        </w:rPr>
        <w:t xml:space="preserve"> the</w:t>
      </w:r>
      <w:r w:rsidR="00B01940" w:rsidRPr="00B907B6">
        <w:rPr>
          <w:rFonts w:ascii="Times New Roman" w:hAnsi="Times New Roman" w:cs="Times New Roman"/>
          <w:sz w:val="20"/>
          <w:szCs w:val="20"/>
          <w:lang w:eastAsia="x-none"/>
        </w:rPr>
        <w:t xml:space="preserve"> COTs</w:t>
      </w:r>
      <w:r w:rsidRPr="00B907B6">
        <w:rPr>
          <w:rFonts w:ascii="Times New Roman" w:hAnsi="Times New Roman" w:cs="Times New Roman"/>
          <w:sz w:val="20"/>
          <w:szCs w:val="20"/>
          <w:lang w:eastAsia="x-none"/>
        </w:rPr>
        <w:t xml:space="preserve"> initiated </w:t>
      </w:r>
      <w:r w:rsidR="00B01940" w:rsidRPr="00B907B6">
        <w:rPr>
          <w:rFonts w:ascii="Times New Roman" w:hAnsi="Times New Roman" w:cs="Times New Roman"/>
          <w:sz w:val="20"/>
          <w:szCs w:val="20"/>
          <w:lang w:eastAsia="x-none"/>
        </w:rPr>
        <w:t>in</w:t>
      </w:r>
      <w:r w:rsidR="00152FE7" w:rsidRPr="00B907B6">
        <w:rPr>
          <w:rFonts w:ascii="Times New Roman" w:hAnsi="Times New Roman" w:cs="Times New Roman"/>
          <w:sz w:val="20"/>
          <w:szCs w:val="20"/>
          <w:lang w:eastAsia="x-none"/>
        </w:rPr>
        <w:t xml:space="preserve"> different LBT subbands</w:t>
      </w:r>
      <w:r w:rsidR="0047089C" w:rsidRPr="00B907B6">
        <w:rPr>
          <w:rFonts w:ascii="Times New Roman" w:hAnsi="Times New Roman" w:cs="Times New Roman"/>
          <w:sz w:val="20"/>
          <w:szCs w:val="20"/>
          <w:lang w:eastAsia="x-none"/>
        </w:rPr>
        <w:t>.</w:t>
      </w:r>
      <w:r w:rsidR="0047089C" w:rsidRPr="00B907B6">
        <w:rPr>
          <w:rFonts w:ascii="Times New Roman" w:hAnsi="Times New Roman" w:cs="Times New Roman" w:hint="eastAsia"/>
          <w:sz w:val="20"/>
          <w:szCs w:val="20"/>
        </w:rPr>
        <w:t xml:space="preserve"> </w:t>
      </w:r>
      <w:r w:rsidR="008003D6" w:rsidRPr="00B907B6">
        <w:rPr>
          <w:rFonts w:ascii="Times New Roman" w:hAnsi="Times New Roman" w:cs="Times New Roman" w:hint="eastAsia"/>
          <w:sz w:val="20"/>
          <w:szCs w:val="20"/>
        </w:rPr>
        <w:t>T</w:t>
      </w:r>
      <w:r w:rsidR="008003D6" w:rsidRPr="00B907B6">
        <w:rPr>
          <w:rFonts w:ascii="Times New Roman" w:hAnsi="Times New Roman" w:cs="Times New Roman"/>
          <w:sz w:val="20"/>
          <w:szCs w:val="20"/>
        </w:rPr>
        <w:t xml:space="preserve">o allow such flexibility, </w:t>
      </w:r>
      <w:r w:rsidR="008003D6" w:rsidRPr="00B907B6">
        <w:rPr>
          <w:rFonts w:ascii="Times New Roman" w:hAnsi="Times New Roman" w:cs="Times New Roman" w:hint="eastAsia"/>
          <w:sz w:val="20"/>
          <w:szCs w:val="20"/>
        </w:rPr>
        <w:t>a</w:t>
      </w:r>
      <w:r w:rsidR="0047089C" w:rsidRPr="00B907B6">
        <w:rPr>
          <w:rFonts w:ascii="Times New Roman" w:hAnsi="Times New Roman" w:cs="Times New Roman" w:hint="eastAsia"/>
          <w:sz w:val="20"/>
          <w:szCs w:val="20"/>
        </w:rPr>
        <w:t xml:space="preserve"> </w:t>
      </w:r>
      <w:r w:rsidR="0047089C" w:rsidRPr="00B907B6">
        <w:rPr>
          <w:rFonts w:ascii="Times New Roman" w:hAnsi="Times New Roman" w:cs="Times New Roman"/>
          <w:sz w:val="20"/>
          <w:szCs w:val="20"/>
        </w:rPr>
        <w:t>straightforward</w:t>
      </w:r>
      <w:r w:rsidR="0047089C" w:rsidRPr="00B907B6">
        <w:rPr>
          <w:rFonts w:ascii="Times New Roman" w:hAnsi="Times New Roman" w:cs="Times New Roman" w:hint="eastAsia"/>
          <w:sz w:val="20"/>
          <w:szCs w:val="20"/>
        </w:rPr>
        <w:t xml:space="preserve"> way is to provide </w:t>
      </w:r>
      <w:r w:rsidR="00ED0922" w:rsidRPr="00B907B6">
        <w:rPr>
          <w:rFonts w:ascii="Times New Roman" w:hAnsi="Times New Roman" w:cs="Times New Roman"/>
          <w:sz w:val="20"/>
          <w:szCs w:val="20"/>
        </w:rPr>
        <w:t>the subband</w:t>
      </w:r>
      <w:r w:rsidR="0047089C" w:rsidRPr="00B907B6">
        <w:rPr>
          <w:rFonts w:ascii="Times New Roman" w:hAnsi="Times New Roman" w:cs="Times New Roman"/>
          <w:sz w:val="20"/>
          <w:szCs w:val="20"/>
        </w:rPr>
        <w:t>-specific control information per subband per cell</w:t>
      </w:r>
      <w:r w:rsidR="00E16AC6" w:rsidRPr="00B907B6">
        <w:rPr>
          <w:rFonts w:ascii="Times New Roman" w:hAnsi="Times New Roman" w:cs="Times New Roman"/>
          <w:sz w:val="20"/>
          <w:szCs w:val="20"/>
        </w:rPr>
        <w:t xml:space="preserve">, as shown in the example </w:t>
      </w:r>
      <w:r w:rsidR="008003D6" w:rsidRPr="00B907B6">
        <w:rPr>
          <w:rFonts w:ascii="Times New Roman" w:hAnsi="Times New Roman" w:cs="Times New Roman"/>
          <w:sz w:val="20"/>
          <w:szCs w:val="20"/>
        </w:rPr>
        <w:t>in Figure 1. However, the signaling overhead would be</w:t>
      </w:r>
      <w:r w:rsidR="008003D6" w:rsidRPr="00B907B6">
        <w:rPr>
          <w:rFonts w:ascii="Times New Roman" w:hAnsi="Times New Roman" w:cs="Times New Roman" w:hint="eastAsia"/>
          <w:sz w:val="20"/>
          <w:szCs w:val="20"/>
        </w:rPr>
        <w:t xml:space="preserve"> </w:t>
      </w:r>
      <w:r w:rsidR="008003D6" w:rsidRPr="00B907B6">
        <w:rPr>
          <w:rFonts w:ascii="Times New Roman" w:hAnsi="Times New Roman" w:cs="Times New Roman"/>
          <w:sz w:val="20"/>
          <w:szCs w:val="20"/>
        </w:rPr>
        <w:t>directly</w:t>
      </w:r>
      <w:r w:rsidR="008003D6" w:rsidRPr="00B907B6">
        <w:rPr>
          <w:rFonts w:ascii="Times New Roman" w:hAnsi="Times New Roman" w:cs="Times New Roman" w:hint="eastAsia"/>
          <w:sz w:val="20"/>
          <w:szCs w:val="20"/>
        </w:rPr>
        <w:t xml:space="preserve"> </w:t>
      </w:r>
      <w:r w:rsidR="008003D6" w:rsidRPr="00B907B6">
        <w:rPr>
          <w:rFonts w:ascii="Times New Roman" w:hAnsi="Times New Roman" w:cs="Times New Roman"/>
          <w:sz w:val="20"/>
          <w:szCs w:val="20"/>
        </w:rPr>
        <w:t xml:space="preserve">scaled with total number of operating </w:t>
      </w:r>
      <w:r w:rsidR="008003D6" w:rsidRPr="00B907B6">
        <w:rPr>
          <w:rFonts w:ascii="Times New Roman" w:hAnsi="Times New Roman" w:cs="Times New Roman" w:hint="eastAsia"/>
          <w:sz w:val="20"/>
          <w:szCs w:val="20"/>
        </w:rPr>
        <w:t>LBT subband</w:t>
      </w:r>
      <w:r w:rsidR="008003D6" w:rsidRPr="00B907B6">
        <w:rPr>
          <w:rFonts w:ascii="Times New Roman" w:hAnsi="Times New Roman" w:cs="Times New Roman"/>
          <w:sz w:val="20"/>
          <w:szCs w:val="20"/>
        </w:rPr>
        <w:t xml:space="preserve">s. </w:t>
      </w:r>
    </w:p>
    <w:p w14:paraId="52D11C06" w14:textId="77777777" w:rsidR="00E16AC6" w:rsidRPr="00B907B6" w:rsidRDefault="00E16AC6" w:rsidP="00E934BC">
      <w:pPr>
        <w:widowControl/>
        <w:spacing w:line="280" w:lineRule="exact"/>
        <w:jc w:val="both"/>
        <w:rPr>
          <w:rFonts w:ascii="Times New Roman" w:hAnsi="Times New Roman" w:cs="Times New Roman"/>
          <w:sz w:val="20"/>
          <w:szCs w:val="20"/>
          <w:lang w:eastAsia="x-none"/>
        </w:rPr>
      </w:pPr>
    </w:p>
    <w:p w14:paraId="3B2CE533" w14:textId="578A81EB" w:rsidR="00E16AC6" w:rsidRPr="00B907B6" w:rsidRDefault="00ED295E" w:rsidP="00E16AC6">
      <w:pPr>
        <w:widowControl/>
        <w:jc w:val="both"/>
        <w:rPr>
          <w:rFonts w:ascii="Times New Roman" w:hAnsi="Times New Roman" w:cs="Times New Roman"/>
          <w:sz w:val="20"/>
          <w:szCs w:val="20"/>
          <w:lang w:eastAsia="x-none"/>
        </w:rPr>
      </w:pPr>
      <w:r w:rsidRPr="00B907B6">
        <w:rPr>
          <w:rFonts w:ascii="Times New Roman" w:hAnsi="Times New Roman" w:cs="Times New Roman"/>
          <w:noProof/>
          <w:sz w:val="20"/>
          <w:szCs w:val="20"/>
        </w:rPr>
        <w:drawing>
          <wp:inline distT="0" distB="0" distL="0" distR="0" wp14:anchorId="77A6F639" wp14:editId="4B489205">
            <wp:extent cx="6188710" cy="1202690"/>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88710" cy="1202690"/>
                    </a:xfrm>
                    <a:prstGeom prst="rect">
                      <a:avLst/>
                    </a:prstGeom>
                  </pic:spPr>
                </pic:pic>
              </a:graphicData>
            </a:graphic>
          </wp:inline>
        </w:drawing>
      </w:r>
    </w:p>
    <w:p w14:paraId="15EF33E2" w14:textId="0531BB79" w:rsidR="00E16AC6" w:rsidRPr="00B907B6" w:rsidRDefault="00E16AC6" w:rsidP="00E16AC6">
      <w:pPr>
        <w:snapToGrid w:val="0"/>
        <w:spacing w:afterLines="50" w:after="180"/>
        <w:contextualSpacing/>
        <w:jc w:val="center"/>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Figure 1. Example of conveying that COT-related control information</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using</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 xml:space="preserve">a </w:t>
      </w:r>
      <w:r w:rsidR="00011293" w:rsidRPr="00B907B6">
        <w:rPr>
          <w:rFonts w:ascii="Times New Roman" w:hAnsi="Times New Roman" w:cs="Times New Roman"/>
          <w:b/>
          <w:color w:val="000000" w:themeColor="text1"/>
          <w:sz w:val="20"/>
          <w:szCs w:val="20"/>
        </w:rPr>
        <w:t xml:space="preserve">group common </w:t>
      </w:r>
      <w:r w:rsidRPr="00B907B6">
        <w:rPr>
          <w:rFonts w:ascii="Times New Roman" w:hAnsi="Times New Roman" w:cs="Times New Roman"/>
          <w:b/>
          <w:color w:val="000000" w:themeColor="text1"/>
          <w:sz w:val="20"/>
          <w:szCs w:val="20"/>
        </w:rPr>
        <w:t>DCI</w:t>
      </w:r>
    </w:p>
    <w:p w14:paraId="4461B942" w14:textId="77777777" w:rsidR="00E16AC6" w:rsidRPr="00B907B6" w:rsidRDefault="00E16AC6" w:rsidP="00E16AC6">
      <w:pPr>
        <w:widowControl/>
        <w:spacing w:line="280" w:lineRule="exact"/>
        <w:jc w:val="center"/>
        <w:rPr>
          <w:rFonts w:ascii="Times New Roman" w:hAnsi="Times New Roman" w:cs="Times New Roman"/>
          <w:sz w:val="20"/>
          <w:szCs w:val="20"/>
          <w:lang w:eastAsia="x-none"/>
        </w:rPr>
      </w:pPr>
    </w:p>
    <w:p w14:paraId="46A67BB8" w14:textId="77777777" w:rsidR="00E16AC6" w:rsidRPr="00B907B6" w:rsidRDefault="00E16AC6" w:rsidP="00E934BC">
      <w:pPr>
        <w:widowControl/>
        <w:spacing w:line="280" w:lineRule="exact"/>
        <w:jc w:val="both"/>
        <w:rPr>
          <w:rFonts w:ascii="Times New Roman" w:hAnsi="Times New Roman" w:cs="Times New Roman"/>
          <w:sz w:val="20"/>
          <w:szCs w:val="20"/>
          <w:lang w:eastAsia="x-none"/>
        </w:rPr>
      </w:pPr>
    </w:p>
    <w:p w14:paraId="487A0390" w14:textId="54A96826" w:rsidR="00874AC4" w:rsidRPr="00B907B6" w:rsidRDefault="008003D6" w:rsidP="00BF041F">
      <w:pPr>
        <w:widowControl/>
        <w:spacing w:line="280" w:lineRule="exact"/>
        <w:jc w:val="both"/>
        <w:rPr>
          <w:rFonts w:ascii="Times New Roman" w:hAnsi="Times New Roman" w:cs="Times New Roman"/>
          <w:color w:val="000000" w:themeColor="text1"/>
          <w:sz w:val="20"/>
          <w:szCs w:val="20"/>
        </w:rPr>
      </w:pPr>
      <w:r w:rsidRPr="00B907B6">
        <w:rPr>
          <w:rFonts w:ascii="Times New Roman" w:hAnsi="Times New Roman" w:cs="Times New Roman"/>
          <w:sz w:val="20"/>
          <w:szCs w:val="20"/>
          <w:lang w:eastAsia="x-none"/>
        </w:rPr>
        <w:t xml:space="preserve">An alternative </w:t>
      </w:r>
      <w:r w:rsidR="008161CA" w:rsidRPr="00B907B6">
        <w:rPr>
          <w:rFonts w:ascii="Times New Roman" w:hAnsi="Times New Roman" w:cs="Times New Roman"/>
          <w:sz w:val="20"/>
          <w:szCs w:val="20"/>
          <w:lang w:eastAsia="x-none"/>
        </w:rPr>
        <w:t xml:space="preserve">to avoid </w:t>
      </w:r>
      <w:r w:rsidR="008161CA" w:rsidRPr="00B907B6">
        <w:rPr>
          <w:rFonts w:ascii="Times New Roman" w:hAnsi="Times New Roman" w:cs="Times New Roman"/>
          <w:sz w:val="20"/>
          <w:szCs w:val="20"/>
        </w:rPr>
        <w:t xml:space="preserve">such signaling overhead is </w:t>
      </w:r>
      <w:r w:rsidR="00A6407E" w:rsidRPr="00B907B6">
        <w:rPr>
          <w:rFonts w:ascii="Times New Roman" w:hAnsi="Times New Roman" w:cs="Times New Roman"/>
          <w:sz w:val="20"/>
          <w:szCs w:val="20"/>
        </w:rPr>
        <w:t>providing</w:t>
      </w:r>
      <w:r w:rsidR="008161CA" w:rsidRPr="00B907B6">
        <w:rPr>
          <w:rFonts w:ascii="Times New Roman" w:hAnsi="Times New Roman" w:cs="Times New Roman"/>
          <w:sz w:val="20"/>
          <w:szCs w:val="20"/>
        </w:rPr>
        <w:t xml:space="preserve"> subband-specific control information only for certain </w:t>
      </w:r>
      <w:r w:rsidR="001A1772" w:rsidRPr="00B907B6">
        <w:rPr>
          <w:rFonts w:ascii="Times New Roman" w:hAnsi="Times New Roman" w:cs="Times New Roman"/>
          <w:sz w:val="20"/>
          <w:szCs w:val="20"/>
        </w:rPr>
        <w:t xml:space="preserve">indicated </w:t>
      </w:r>
      <w:r w:rsidR="009B28E6" w:rsidRPr="00B907B6">
        <w:rPr>
          <w:rFonts w:ascii="Times New Roman" w:hAnsi="Times New Roman" w:cs="Times New Roman"/>
          <w:sz w:val="20"/>
          <w:szCs w:val="20"/>
          <w:lang w:eastAsia="x-none"/>
        </w:rPr>
        <w:t xml:space="preserve">LBT </w:t>
      </w:r>
      <w:r w:rsidR="008161CA" w:rsidRPr="00B907B6">
        <w:rPr>
          <w:rFonts w:ascii="Times New Roman" w:hAnsi="Times New Roman" w:cs="Times New Roman"/>
          <w:sz w:val="20"/>
          <w:szCs w:val="20"/>
        </w:rPr>
        <w:t>subband(s</w:t>
      </w:r>
      <w:r w:rsidR="00A6407E" w:rsidRPr="00B907B6">
        <w:rPr>
          <w:rFonts w:ascii="Times New Roman" w:hAnsi="Times New Roman" w:cs="Times New Roman"/>
          <w:sz w:val="20"/>
          <w:szCs w:val="20"/>
        </w:rPr>
        <w:t xml:space="preserve">) in one DCI transmission, and the gNB can provide </w:t>
      </w:r>
      <w:r w:rsidR="00A6407E" w:rsidRPr="00B907B6">
        <w:rPr>
          <w:rFonts w:ascii="Times New Roman" w:hAnsi="Times New Roman" w:cs="Times New Roman"/>
          <w:sz w:val="20"/>
          <w:szCs w:val="20"/>
          <w:lang w:eastAsia="x-none"/>
        </w:rPr>
        <w:t xml:space="preserve">different </w:t>
      </w:r>
      <w:r w:rsidR="00A6407E" w:rsidRPr="00B907B6">
        <w:rPr>
          <w:rFonts w:ascii="Times New Roman" w:hAnsi="Times New Roman" w:cs="Times New Roman"/>
          <w:sz w:val="20"/>
          <w:szCs w:val="20"/>
        </w:rPr>
        <w:t xml:space="preserve">subband-specific </w:t>
      </w:r>
      <w:r w:rsidR="00A6407E" w:rsidRPr="00B907B6">
        <w:rPr>
          <w:rFonts w:ascii="Times New Roman" w:hAnsi="Times New Roman" w:cs="Times New Roman"/>
          <w:sz w:val="20"/>
          <w:szCs w:val="20"/>
          <w:lang w:eastAsia="x-none"/>
        </w:rPr>
        <w:t>control information</w:t>
      </w:r>
      <w:r w:rsidR="00A6407E" w:rsidRPr="00B907B6">
        <w:rPr>
          <w:rFonts w:ascii="Times New Roman" w:hAnsi="Times New Roman" w:cs="Times New Roman"/>
          <w:sz w:val="20"/>
          <w:szCs w:val="20"/>
        </w:rPr>
        <w:t xml:space="preserve"> for different </w:t>
      </w:r>
      <w:r w:rsidR="009B28E6" w:rsidRPr="00B907B6">
        <w:rPr>
          <w:rFonts w:ascii="Times New Roman" w:hAnsi="Times New Roman" w:cs="Times New Roman"/>
          <w:sz w:val="20"/>
          <w:szCs w:val="20"/>
          <w:lang w:eastAsia="x-none"/>
        </w:rPr>
        <w:t xml:space="preserve">LBT </w:t>
      </w:r>
      <w:r w:rsidR="00A6407E" w:rsidRPr="00B907B6">
        <w:rPr>
          <w:rFonts w:ascii="Times New Roman" w:hAnsi="Times New Roman" w:cs="Times New Roman"/>
          <w:sz w:val="20"/>
          <w:szCs w:val="20"/>
        </w:rPr>
        <w:t xml:space="preserve">subbands thought </w:t>
      </w:r>
      <w:r w:rsidR="00B23FE1" w:rsidRPr="00B907B6">
        <w:rPr>
          <w:rFonts w:ascii="Times New Roman" w:hAnsi="Times New Roman" w:cs="Times New Roman"/>
          <w:sz w:val="20"/>
          <w:szCs w:val="20"/>
        </w:rPr>
        <w:t xml:space="preserve">separate </w:t>
      </w:r>
      <w:r w:rsidR="00A6407E" w:rsidRPr="00B907B6">
        <w:rPr>
          <w:rFonts w:ascii="Times New Roman" w:hAnsi="Times New Roman" w:cs="Times New Roman"/>
          <w:sz w:val="20"/>
          <w:szCs w:val="20"/>
        </w:rPr>
        <w:t xml:space="preserve">DCI transmissions. For example, </w:t>
      </w:r>
      <w:r w:rsidR="00873CEE" w:rsidRPr="00B907B6">
        <w:rPr>
          <w:rFonts w:ascii="Times New Roman" w:hAnsi="Times New Roman" w:cs="Times New Roman"/>
          <w:sz w:val="20"/>
          <w:szCs w:val="20"/>
        </w:rPr>
        <w:t>when</w:t>
      </w:r>
      <w:r w:rsidR="00A6407E" w:rsidRPr="00B907B6">
        <w:rPr>
          <w:rFonts w:ascii="Times New Roman" w:hAnsi="Times New Roman" w:cs="Times New Roman"/>
          <w:sz w:val="20"/>
          <w:szCs w:val="20"/>
        </w:rPr>
        <w:t xml:space="preserve"> </w:t>
      </w:r>
      <w:r w:rsidR="00A6407E" w:rsidRPr="00B907B6">
        <w:rPr>
          <w:rFonts w:ascii="Times New Roman" w:hAnsi="Times New Roman" w:cs="Times New Roman" w:hint="eastAsia"/>
          <w:sz w:val="20"/>
          <w:szCs w:val="20"/>
        </w:rPr>
        <w:t xml:space="preserve">the gNB </w:t>
      </w:r>
      <w:r w:rsidR="00873CEE" w:rsidRPr="00B907B6">
        <w:rPr>
          <w:rFonts w:ascii="Times New Roman" w:hAnsi="Times New Roman" w:cs="Times New Roman"/>
          <w:sz w:val="20"/>
          <w:szCs w:val="20"/>
        </w:rPr>
        <w:t>occupies</w:t>
      </w:r>
      <w:r w:rsidR="00A6407E" w:rsidRPr="00B907B6">
        <w:rPr>
          <w:rFonts w:ascii="Times New Roman" w:hAnsi="Times New Roman" w:cs="Times New Roman" w:hint="eastAsia"/>
          <w:sz w:val="20"/>
          <w:szCs w:val="20"/>
        </w:rPr>
        <w:t xml:space="preserve"> </w:t>
      </w:r>
      <w:r w:rsidR="00A6407E" w:rsidRPr="00B907B6">
        <w:rPr>
          <w:rFonts w:ascii="Times New Roman" w:hAnsi="Times New Roman" w:cs="Times New Roman"/>
          <w:sz w:val="20"/>
          <w:szCs w:val="20"/>
        </w:rPr>
        <w:t>channels in a set of LBT subbands using the LBT procedure</w:t>
      </w:r>
      <w:r w:rsidR="00873CEE" w:rsidRPr="00B907B6">
        <w:rPr>
          <w:rFonts w:ascii="Times New Roman" w:hAnsi="Times New Roman" w:cs="Times New Roman"/>
          <w:sz w:val="20"/>
          <w:szCs w:val="20"/>
        </w:rPr>
        <w:t xml:space="preserve"> at the same time, the gNB can transmit a DCI conveying subband-specific control information for the COT initiated in the set of LBT subbands. To indicate which</w:t>
      </w:r>
      <w:r w:rsidR="009B28E6" w:rsidRPr="00B907B6">
        <w:rPr>
          <w:rFonts w:ascii="Times New Roman" w:hAnsi="Times New Roman" w:cs="Times New Roman"/>
          <w:sz w:val="20"/>
          <w:szCs w:val="20"/>
        </w:rPr>
        <w:t xml:space="preserve"> LBT</w:t>
      </w:r>
      <w:r w:rsidR="00873CEE" w:rsidRPr="00B907B6">
        <w:rPr>
          <w:rFonts w:ascii="Times New Roman" w:hAnsi="Times New Roman" w:cs="Times New Roman"/>
          <w:sz w:val="20"/>
          <w:szCs w:val="20"/>
        </w:rPr>
        <w:t xml:space="preserve"> subband(s) should apply the subband-specific control information, </w:t>
      </w:r>
      <w:r w:rsidR="00C23B9A" w:rsidRPr="00B907B6">
        <w:rPr>
          <w:rFonts w:ascii="Times New Roman" w:hAnsi="Times New Roman" w:cs="Times New Roman"/>
          <w:sz w:val="20"/>
          <w:szCs w:val="20"/>
        </w:rPr>
        <w:t>available subband/</w:t>
      </w:r>
      <w:r w:rsidR="009B28E6" w:rsidRPr="00B907B6">
        <w:rPr>
          <w:rFonts w:ascii="Times New Roman" w:hAnsi="Times New Roman" w:cs="Times New Roman"/>
          <w:sz w:val="20"/>
          <w:szCs w:val="20"/>
        </w:rPr>
        <w:t xml:space="preserve"> </w:t>
      </w:r>
      <w:r w:rsidR="00C23B9A" w:rsidRPr="00B907B6">
        <w:rPr>
          <w:rFonts w:ascii="Times New Roman" w:hAnsi="Times New Roman" w:cs="Times New Roman"/>
          <w:sz w:val="20"/>
          <w:szCs w:val="20"/>
        </w:rPr>
        <w:t xml:space="preserve">carrier </w:t>
      </w:r>
      <w:r w:rsidR="001A1772" w:rsidRPr="00B907B6">
        <w:rPr>
          <w:rFonts w:ascii="Times New Roman" w:hAnsi="Times New Roman" w:cs="Times New Roman"/>
          <w:sz w:val="20"/>
          <w:szCs w:val="20"/>
        </w:rPr>
        <w:t xml:space="preserve">information </w:t>
      </w:r>
      <w:r w:rsidR="00C23B9A" w:rsidRPr="00B907B6">
        <w:rPr>
          <w:rFonts w:ascii="Times New Roman" w:hAnsi="Times New Roman" w:cs="Times New Roman"/>
          <w:sz w:val="20"/>
          <w:szCs w:val="20"/>
        </w:rPr>
        <w:t xml:space="preserve">could be </w:t>
      </w:r>
      <w:r w:rsidR="00887050" w:rsidRPr="00B907B6">
        <w:rPr>
          <w:rFonts w:ascii="Times New Roman" w:hAnsi="Times New Roman" w:cs="Times New Roman"/>
          <w:sz w:val="20"/>
          <w:szCs w:val="20"/>
        </w:rPr>
        <w:t>adopted</w:t>
      </w:r>
      <w:r w:rsidR="00C23B9A" w:rsidRPr="00B907B6">
        <w:rPr>
          <w:rFonts w:ascii="Times New Roman" w:hAnsi="Times New Roman" w:cs="Times New Roman"/>
          <w:sz w:val="20"/>
          <w:szCs w:val="20"/>
        </w:rPr>
        <w:t>. For example, as shown in Figure 2, a UE may receive</w:t>
      </w:r>
      <w:r w:rsidR="00CC23E7" w:rsidRPr="00B907B6">
        <w:rPr>
          <w:rFonts w:ascii="Times New Roman" w:hAnsi="Times New Roman" w:cs="Times New Roman"/>
          <w:sz w:val="20"/>
          <w:szCs w:val="20"/>
        </w:rPr>
        <w:t xml:space="preserve"> a</w:t>
      </w:r>
      <w:r w:rsidR="00C23B9A" w:rsidRPr="00B907B6">
        <w:rPr>
          <w:rFonts w:ascii="Times New Roman" w:hAnsi="Times New Roman" w:cs="Times New Roman"/>
          <w:sz w:val="20"/>
          <w:szCs w:val="20"/>
        </w:rPr>
        <w:t xml:space="preserve"> DCI transmitted on GC-PDCCI that indicates</w:t>
      </w:r>
      <w:r w:rsidR="00CC23E7" w:rsidRPr="00B907B6">
        <w:rPr>
          <w:rFonts w:ascii="Times New Roman" w:hAnsi="Times New Roman" w:cs="Times New Roman"/>
          <w:sz w:val="20"/>
          <w:szCs w:val="20"/>
        </w:rPr>
        <w:t xml:space="preserve"> both</w:t>
      </w:r>
      <w:r w:rsidR="00C23B9A" w:rsidRPr="00B907B6">
        <w:rPr>
          <w:rFonts w:ascii="Times New Roman" w:hAnsi="Times New Roman" w:cs="Times New Roman"/>
          <w:sz w:val="20"/>
          <w:szCs w:val="20"/>
        </w:rPr>
        <w:t xml:space="preserve"> common and subband-specific control information for </w:t>
      </w:r>
      <w:r w:rsidR="00C23B9A" w:rsidRPr="00B907B6">
        <w:rPr>
          <w:rFonts w:ascii="Times New Roman" w:hAnsi="Times New Roman" w:cs="Times New Roman" w:hint="eastAsia"/>
          <w:sz w:val="20"/>
          <w:szCs w:val="20"/>
        </w:rPr>
        <w:t>each cell</w:t>
      </w:r>
      <w:r w:rsidR="00C23B9A" w:rsidRPr="00B907B6">
        <w:rPr>
          <w:rFonts w:ascii="Times New Roman" w:hAnsi="Times New Roman" w:cs="Times New Roman"/>
          <w:sz w:val="20"/>
          <w:szCs w:val="20"/>
        </w:rPr>
        <w:t xml:space="preserve">. Then, </w:t>
      </w:r>
      <w:r w:rsidR="00CC23E7" w:rsidRPr="00B907B6">
        <w:rPr>
          <w:rFonts w:ascii="Times New Roman" w:hAnsi="Times New Roman" w:cs="Times New Roman"/>
          <w:sz w:val="20"/>
          <w:szCs w:val="20"/>
        </w:rPr>
        <w:t xml:space="preserve">for each cell, </w:t>
      </w:r>
      <w:r w:rsidR="00C23B9A" w:rsidRPr="00B907B6">
        <w:rPr>
          <w:rFonts w:ascii="Times New Roman" w:hAnsi="Times New Roman" w:cs="Times New Roman"/>
          <w:sz w:val="20"/>
          <w:szCs w:val="20"/>
        </w:rPr>
        <w:t xml:space="preserve">the UE can assume that the </w:t>
      </w:r>
      <w:r w:rsidR="009B28E6" w:rsidRPr="00B907B6">
        <w:rPr>
          <w:rFonts w:ascii="Times New Roman" w:hAnsi="Times New Roman" w:cs="Times New Roman"/>
          <w:sz w:val="20"/>
          <w:szCs w:val="20"/>
        </w:rPr>
        <w:t xml:space="preserve">LBT </w:t>
      </w:r>
      <w:r w:rsidR="00C23B9A" w:rsidRPr="00B907B6">
        <w:rPr>
          <w:rFonts w:ascii="Times New Roman" w:hAnsi="Times New Roman" w:cs="Times New Roman"/>
          <w:sz w:val="20"/>
          <w:szCs w:val="20"/>
        </w:rPr>
        <w:t xml:space="preserve">subbands indicated by available subband/carrier </w:t>
      </w:r>
      <w:r w:rsidR="001A1772" w:rsidRPr="00B907B6">
        <w:rPr>
          <w:rFonts w:ascii="Times New Roman" w:hAnsi="Times New Roman" w:cs="Times New Roman"/>
          <w:sz w:val="20"/>
          <w:szCs w:val="20"/>
        </w:rPr>
        <w:t xml:space="preserve">information </w:t>
      </w:r>
      <w:r w:rsidR="00CC23E7" w:rsidRPr="00B907B6">
        <w:rPr>
          <w:rFonts w:ascii="Times New Roman" w:hAnsi="Times New Roman" w:cs="Times New Roman"/>
          <w:sz w:val="20"/>
          <w:szCs w:val="20"/>
        </w:rPr>
        <w:t>(e.g., a bitmap)</w:t>
      </w:r>
      <w:r w:rsidR="00C23B9A" w:rsidRPr="00B907B6">
        <w:rPr>
          <w:rFonts w:ascii="Times New Roman" w:hAnsi="Times New Roman" w:cs="Times New Roman" w:hint="eastAsia"/>
          <w:sz w:val="20"/>
          <w:szCs w:val="20"/>
        </w:rPr>
        <w:t xml:space="preserve"> </w:t>
      </w:r>
      <w:r w:rsidR="00011293" w:rsidRPr="00B907B6">
        <w:rPr>
          <w:rFonts w:ascii="Times New Roman" w:hAnsi="Times New Roman" w:cs="Times New Roman"/>
          <w:sz w:val="20"/>
          <w:szCs w:val="20"/>
        </w:rPr>
        <w:t>are</w:t>
      </w:r>
      <w:r w:rsidR="00C23B9A" w:rsidRPr="00B907B6">
        <w:rPr>
          <w:rFonts w:ascii="Times New Roman" w:hAnsi="Times New Roman" w:cs="Times New Roman"/>
          <w:sz w:val="20"/>
          <w:szCs w:val="20"/>
        </w:rPr>
        <w:t xml:space="preserve"> occupied by the gNB, and </w:t>
      </w:r>
      <w:r w:rsidR="00C23B9A" w:rsidRPr="00B907B6">
        <w:rPr>
          <w:rFonts w:ascii="Times New Roman" w:hAnsi="Times New Roman" w:cs="Times New Roman" w:hint="eastAsia"/>
          <w:sz w:val="20"/>
          <w:szCs w:val="20"/>
        </w:rPr>
        <w:t xml:space="preserve">the </w:t>
      </w:r>
      <w:r w:rsidR="00C23B9A" w:rsidRPr="00B907B6">
        <w:rPr>
          <w:rFonts w:ascii="Times New Roman" w:hAnsi="Times New Roman" w:cs="Times New Roman"/>
          <w:sz w:val="20"/>
          <w:szCs w:val="20"/>
        </w:rPr>
        <w:t>received</w:t>
      </w:r>
      <w:r w:rsidR="00C23B9A" w:rsidRPr="00B907B6">
        <w:rPr>
          <w:rFonts w:ascii="Times New Roman" w:hAnsi="Times New Roman" w:cs="Times New Roman" w:hint="eastAsia"/>
          <w:sz w:val="20"/>
          <w:szCs w:val="20"/>
        </w:rPr>
        <w:t xml:space="preserve"> </w:t>
      </w:r>
      <w:r w:rsidR="00C23B9A" w:rsidRPr="00B907B6">
        <w:rPr>
          <w:rFonts w:ascii="Times New Roman" w:hAnsi="Times New Roman" w:cs="Times New Roman"/>
          <w:sz w:val="20"/>
          <w:szCs w:val="20"/>
        </w:rPr>
        <w:t>subband-specific control information shall be applied</w:t>
      </w:r>
      <w:r w:rsidR="00C23B9A" w:rsidRPr="00B907B6">
        <w:rPr>
          <w:rFonts w:ascii="Times New Roman" w:hAnsi="Times New Roman" w:cs="Times New Roman"/>
          <w:color w:val="000000" w:themeColor="text1"/>
          <w:sz w:val="20"/>
          <w:szCs w:val="20"/>
        </w:rPr>
        <w:t xml:space="preserve"> to the</w:t>
      </w:r>
      <w:r w:rsidR="00011293" w:rsidRPr="00B907B6">
        <w:rPr>
          <w:rFonts w:ascii="Times New Roman" w:hAnsi="Times New Roman" w:cs="Times New Roman"/>
          <w:sz w:val="20"/>
          <w:szCs w:val="20"/>
        </w:rPr>
        <w:t xml:space="preserve"> COT initiated in the</w:t>
      </w:r>
      <w:r w:rsidR="00C23B9A" w:rsidRPr="00B907B6">
        <w:rPr>
          <w:rFonts w:ascii="Times New Roman" w:hAnsi="Times New Roman" w:cs="Times New Roman"/>
          <w:color w:val="000000" w:themeColor="text1"/>
          <w:sz w:val="20"/>
          <w:szCs w:val="20"/>
        </w:rPr>
        <w:t xml:space="preserve"> indicated</w:t>
      </w:r>
      <w:r w:rsidR="009B28E6" w:rsidRPr="00B907B6">
        <w:rPr>
          <w:rFonts w:ascii="Times New Roman" w:hAnsi="Times New Roman" w:cs="Times New Roman"/>
          <w:sz w:val="20"/>
          <w:szCs w:val="20"/>
          <w:lang w:eastAsia="x-none"/>
        </w:rPr>
        <w:t xml:space="preserve"> LBT</w:t>
      </w:r>
      <w:r w:rsidR="00C23B9A" w:rsidRPr="00B907B6">
        <w:rPr>
          <w:rFonts w:ascii="Times New Roman" w:hAnsi="Times New Roman" w:cs="Times New Roman"/>
          <w:color w:val="000000" w:themeColor="text1"/>
          <w:sz w:val="20"/>
          <w:szCs w:val="20"/>
        </w:rPr>
        <w:t xml:space="preserve"> subbands.</w:t>
      </w:r>
    </w:p>
    <w:p w14:paraId="5FA23857" w14:textId="77777777" w:rsidR="00AA2130" w:rsidRPr="00B907B6" w:rsidRDefault="00AA2130" w:rsidP="00BF041F">
      <w:pPr>
        <w:widowControl/>
        <w:spacing w:line="280" w:lineRule="exact"/>
        <w:jc w:val="both"/>
        <w:rPr>
          <w:rFonts w:ascii="Times New Roman" w:hAnsi="Times New Roman" w:cs="Times New Roman"/>
          <w:color w:val="000000" w:themeColor="text1"/>
          <w:sz w:val="20"/>
          <w:szCs w:val="20"/>
        </w:rPr>
      </w:pPr>
    </w:p>
    <w:p w14:paraId="296D739A" w14:textId="3A4622BA" w:rsidR="00BD4C0B" w:rsidRPr="00B907B6" w:rsidRDefault="00BF041F" w:rsidP="00BF041F">
      <w:pPr>
        <w:snapToGrid w:val="0"/>
        <w:spacing w:before="240" w:afterLines="50" w:after="180"/>
        <w:rPr>
          <w:rFonts w:ascii="Times New Roman" w:hAnsi="Times New Roman" w:cs="Times New Roman"/>
          <w:color w:val="000000" w:themeColor="text1"/>
          <w:sz w:val="20"/>
          <w:szCs w:val="20"/>
        </w:rPr>
      </w:pPr>
      <w:r w:rsidRPr="00B907B6">
        <w:rPr>
          <w:rFonts w:ascii="Times New Roman" w:hAnsi="Times New Roman" w:cs="Times New Roman"/>
          <w:color w:val="000000" w:themeColor="text1"/>
          <w:sz w:val="20"/>
          <w:szCs w:val="20"/>
        </w:rPr>
        <w:t xml:space="preserve">           </w:t>
      </w:r>
      <w:r w:rsidR="00787F88" w:rsidRPr="00B907B6">
        <w:rPr>
          <w:rFonts w:ascii="Times New Roman" w:hAnsi="Times New Roman" w:cs="Times New Roman"/>
          <w:noProof/>
          <w:color w:val="000000" w:themeColor="text1"/>
          <w:sz w:val="20"/>
          <w:szCs w:val="20"/>
        </w:rPr>
        <w:drawing>
          <wp:inline distT="0" distB="0" distL="0" distR="0" wp14:anchorId="056B7F69" wp14:editId="59E3C230">
            <wp:extent cx="4224168" cy="1627947"/>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0741" cy="1642042"/>
                    </a:xfrm>
                    <a:prstGeom prst="rect">
                      <a:avLst/>
                    </a:prstGeom>
                  </pic:spPr>
                </pic:pic>
              </a:graphicData>
            </a:graphic>
          </wp:inline>
        </w:drawing>
      </w:r>
    </w:p>
    <w:p w14:paraId="4A3FFAB9" w14:textId="1026AB56" w:rsidR="00011293" w:rsidRPr="00B907B6" w:rsidRDefault="00011293" w:rsidP="00011293">
      <w:pPr>
        <w:snapToGrid w:val="0"/>
        <w:spacing w:afterLines="50" w:after="180"/>
        <w:contextualSpacing/>
        <w:jc w:val="center"/>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Figure 2. Example of conveying that COT-related control information</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using</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a group common DCI</w:t>
      </w:r>
    </w:p>
    <w:p w14:paraId="6180C499" w14:textId="77777777" w:rsidR="00CE4386" w:rsidRPr="00B907B6" w:rsidRDefault="00CE4386" w:rsidP="00D32401">
      <w:pPr>
        <w:snapToGrid w:val="0"/>
        <w:spacing w:afterLines="50" w:after="180"/>
        <w:jc w:val="both"/>
        <w:rPr>
          <w:rFonts w:ascii="Times New Roman" w:hAnsi="Times New Roman" w:cs="Times New Roman"/>
          <w:color w:val="000000" w:themeColor="text1"/>
          <w:sz w:val="20"/>
          <w:szCs w:val="20"/>
        </w:rPr>
      </w:pPr>
    </w:p>
    <w:p w14:paraId="64B02A09" w14:textId="4C1ED40C" w:rsidR="009B28E6" w:rsidRPr="00B907B6" w:rsidRDefault="00D32401" w:rsidP="009B28E6">
      <w:pPr>
        <w:snapToGrid w:val="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Proposal </w:t>
      </w:r>
      <w:r w:rsidR="009B28E6" w:rsidRPr="00B907B6">
        <w:rPr>
          <w:rFonts w:ascii="Times New Roman" w:hAnsi="Times New Roman" w:cs="Times New Roman"/>
          <w:b/>
          <w:color w:val="000000" w:themeColor="text1"/>
          <w:sz w:val="20"/>
          <w:szCs w:val="20"/>
        </w:rPr>
        <w:t>3</w:t>
      </w:r>
      <w:r w:rsidRPr="00B907B6">
        <w:rPr>
          <w:rFonts w:ascii="Times New Roman" w:hAnsi="Times New Roman" w:cs="Times New Roman"/>
          <w:b/>
          <w:color w:val="000000" w:themeColor="text1"/>
          <w:sz w:val="20"/>
          <w:szCs w:val="20"/>
        </w:rPr>
        <w:t>:</w:t>
      </w:r>
      <w:r w:rsidR="009B28E6" w:rsidRPr="00B907B6">
        <w:rPr>
          <w:rFonts w:ascii="Times New Roman" w:hAnsi="Times New Roman" w:cs="Times New Roman"/>
          <w:b/>
          <w:color w:val="000000" w:themeColor="text1"/>
          <w:sz w:val="20"/>
          <w:szCs w:val="20"/>
        </w:rPr>
        <w:t xml:space="preserve"> Some control information, e.g., COT/SFI duration/ending indication</w:t>
      </w:r>
      <w:r w:rsidR="009B28E6" w:rsidRPr="00B907B6">
        <w:rPr>
          <w:rFonts w:ascii="Times New Roman" w:hAnsi="Times New Roman" w:cs="Times New Roman" w:hint="eastAsia"/>
          <w:b/>
          <w:color w:val="000000" w:themeColor="text1"/>
          <w:sz w:val="20"/>
          <w:szCs w:val="20"/>
        </w:rPr>
        <w:t xml:space="preserve"> </w:t>
      </w:r>
      <w:r w:rsidR="009B28E6" w:rsidRPr="00B907B6">
        <w:rPr>
          <w:rFonts w:ascii="Times New Roman" w:hAnsi="Times New Roman" w:cs="Times New Roman"/>
          <w:b/>
          <w:color w:val="000000" w:themeColor="text1"/>
          <w:sz w:val="20"/>
          <w:szCs w:val="20"/>
        </w:rPr>
        <w:t>and PDCCH monitoring occasion indication, should be considered to be subband-specific.</w:t>
      </w:r>
    </w:p>
    <w:p w14:paraId="205C414C" w14:textId="2703E441" w:rsidR="001A1772" w:rsidRPr="00B907B6" w:rsidRDefault="001A1772" w:rsidP="001A1772">
      <w:pPr>
        <w:snapToGrid w:val="0"/>
        <w:spacing w:before="24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Proposal 4: </w:t>
      </w:r>
      <w:r w:rsidRPr="00B907B6">
        <w:rPr>
          <w:rFonts w:ascii="Times New Roman" w:hAnsi="Times New Roman" w:cs="Times New Roman" w:hint="eastAsia"/>
          <w:b/>
          <w:color w:val="000000" w:themeColor="text1"/>
          <w:sz w:val="20"/>
          <w:szCs w:val="20"/>
        </w:rPr>
        <w:t xml:space="preserve">To convey </w:t>
      </w:r>
      <w:r w:rsidRPr="00B907B6">
        <w:rPr>
          <w:rFonts w:ascii="Times New Roman" w:hAnsi="Times New Roman" w:cs="Times New Roman"/>
          <w:b/>
          <w:color w:val="000000" w:themeColor="text1"/>
          <w:sz w:val="20"/>
          <w:szCs w:val="20"/>
        </w:rPr>
        <w:t xml:space="preserve">subband-specific control information in group-common DCI, two </w:t>
      </w:r>
      <w:r w:rsidR="00B907B6">
        <w:rPr>
          <w:rFonts w:ascii="Times New Roman" w:hAnsi="Times New Roman" w:cs="Times New Roman"/>
          <w:b/>
          <w:color w:val="000000" w:themeColor="text1"/>
          <w:sz w:val="20"/>
          <w:szCs w:val="20"/>
        </w:rPr>
        <w:t xml:space="preserve">following </w:t>
      </w:r>
      <w:r w:rsidRPr="00B907B6">
        <w:rPr>
          <w:rFonts w:ascii="Times New Roman" w:hAnsi="Times New Roman" w:cs="Times New Roman"/>
          <w:b/>
          <w:color w:val="000000" w:themeColor="text1"/>
          <w:sz w:val="20"/>
          <w:szCs w:val="20"/>
        </w:rPr>
        <w:t xml:space="preserve">options </w:t>
      </w:r>
      <w:r w:rsidR="00887050" w:rsidRPr="00B907B6">
        <w:rPr>
          <w:rFonts w:ascii="Times New Roman" w:hAnsi="Times New Roman" w:cs="Times New Roman"/>
          <w:b/>
          <w:color w:val="000000" w:themeColor="text1"/>
          <w:sz w:val="20"/>
          <w:szCs w:val="20"/>
        </w:rPr>
        <w:t>can</w:t>
      </w:r>
      <w:r w:rsidRPr="00B907B6">
        <w:rPr>
          <w:rFonts w:ascii="Times New Roman" w:hAnsi="Times New Roman" w:cs="Times New Roman"/>
          <w:b/>
          <w:color w:val="000000" w:themeColor="text1"/>
          <w:sz w:val="20"/>
          <w:szCs w:val="20"/>
        </w:rPr>
        <w:t xml:space="preserve"> be considered:</w:t>
      </w:r>
    </w:p>
    <w:p w14:paraId="130F2BAB" w14:textId="09C65CAD" w:rsidR="00DE721B" w:rsidRPr="00B907B6" w:rsidRDefault="001A1772" w:rsidP="001A1772">
      <w:pPr>
        <w:pStyle w:val="a3"/>
        <w:numPr>
          <w:ilvl w:val="0"/>
          <w:numId w:val="39"/>
        </w:numPr>
        <w:snapToGrid w:val="0"/>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Option 1: Subband-specific </w:t>
      </w:r>
      <w:r w:rsidR="00711E1A" w:rsidRPr="00B907B6">
        <w:rPr>
          <w:rFonts w:ascii="Times New Roman" w:hAnsi="Times New Roman" w:cs="Times New Roman"/>
          <w:b/>
          <w:color w:val="000000" w:themeColor="text1"/>
          <w:sz w:val="20"/>
          <w:szCs w:val="20"/>
        </w:rPr>
        <w:t>control information is provided per subband per cell</w:t>
      </w:r>
    </w:p>
    <w:p w14:paraId="1A423017" w14:textId="36ED472F" w:rsidR="001A1772" w:rsidRPr="00B907B6" w:rsidRDefault="001A1772" w:rsidP="001A1772">
      <w:pPr>
        <w:pStyle w:val="a3"/>
        <w:numPr>
          <w:ilvl w:val="0"/>
          <w:numId w:val="39"/>
        </w:numPr>
        <w:snapToGrid w:val="0"/>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Option 2: Subband-specific control information is provided for certain subband(s) per cell, where the certain subband(s) can be indicated by available subband/carrier information</w:t>
      </w:r>
    </w:p>
    <w:p w14:paraId="4B1EAD0A" w14:textId="2B6D0A4B" w:rsidR="00E167A5" w:rsidRPr="009B28E6" w:rsidRDefault="00E167A5" w:rsidP="009B28E6">
      <w:pPr>
        <w:snapToGrid w:val="0"/>
        <w:rPr>
          <w:rFonts w:ascii="Times New Roman" w:hAnsi="Times New Roman" w:cs="Times New Roman"/>
          <w:b/>
          <w:color w:val="000000" w:themeColor="text1"/>
          <w:sz w:val="22"/>
        </w:rPr>
      </w:pPr>
    </w:p>
    <w:p w14:paraId="5BA72008" w14:textId="43905093" w:rsidR="00B23FE1" w:rsidRPr="00F76BD2" w:rsidRDefault="00B23FE1" w:rsidP="00676246">
      <w:pPr>
        <w:pStyle w:val="a3"/>
        <w:numPr>
          <w:ilvl w:val="0"/>
          <w:numId w:val="5"/>
        </w:numPr>
        <w:snapToGrid w:val="0"/>
        <w:spacing w:line="480" w:lineRule="auto"/>
        <w:ind w:leftChars="0"/>
        <w:contextualSpacing/>
        <w:jc w:val="both"/>
        <w:outlineLvl w:val="0"/>
        <w:rPr>
          <w:rFonts w:ascii="Arial" w:hAnsi="Arial" w:cs="Arial"/>
          <w:b/>
          <w:sz w:val="28"/>
          <w:szCs w:val="28"/>
        </w:rPr>
      </w:pPr>
      <w:r w:rsidRPr="00F76BD2">
        <w:rPr>
          <w:rFonts w:ascii="Arial" w:hAnsi="Arial" w:cs="Arial"/>
          <w:b/>
          <w:bCs/>
          <w:sz w:val="28"/>
          <w:szCs w:val="28"/>
        </w:rPr>
        <w:lastRenderedPageBreak/>
        <w:t>Control channel design for wideband operation</w:t>
      </w:r>
      <w:r w:rsidRPr="00F76BD2">
        <w:rPr>
          <w:rFonts w:ascii="Arial" w:hAnsi="Arial" w:cs="Arial"/>
          <w:b/>
          <w:sz w:val="28"/>
          <w:szCs w:val="28"/>
        </w:rPr>
        <w:t xml:space="preserve"> </w:t>
      </w:r>
    </w:p>
    <w:p w14:paraId="4B1EAD13" w14:textId="48572F7A" w:rsidR="00E167A5" w:rsidRPr="00B907B6" w:rsidRDefault="00676246" w:rsidP="00676246">
      <w:pPr>
        <w:pStyle w:val="a3"/>
        <w:numPr>
          <w:ilvl w:val="1"/>
          <w:numId w:val="5"/>
        </w:numPr>
        <w:snapToGrid w:val="0"/>
        <w:spacing w:before="240" w:after="240"/>
        <w:ind w:leftChars="0"/>
        <w:contextualSpacing/>
        <w:jc w:val="both"/>
        <w:outlineLvl w:val="1"/>
        <w:rPr>
          <w:rFonts w:ascii="Arial" w:hAnsi="Arial" w:cs="Arial"/>
          <w:b/>
          <w:szCs w:val="24"/>
        </w:rPr>
      </w:pPr>
      <w:r>
        <w:rPr>
          <w:rFonts w:ascii="Arial" w:hAnsi="Arial" w:cs="Arial"/>
          <w:b/>
          <w:szCs w:val="24"/>
        </w:rPr>
        <w:t xml:space="preserve"> </w:t>
      </w:r>
      <w:r w:rsidR="00CE3642" w:rsidRPr="00B907B6">
        <w:rPr>
          <w:rFonts w:ascii="Arial" w:hAnsi="Arial" w:cs="Arial"/>
          <w:b/>
          <w:szCs w:val="24"/>
        </w:rPr>
        <w:t>CORESET configuration</w:t>
      </w:r>
    </w:p>
    <w:p w14:paraId="542120B7" w14:textId="228E38D2" w:rsidR="00CE2D6D" w:rsidRPr="00B907B6" w:rsidRDefault="00195F45" w:rsidP="00962A2B">
      <w:pPr>
        <w:snapToGrid w:val="0"/>
        <w:spacing w:after="240" w:line="280" w:lineRule="exact"/>
        <w:jc w:val="both"/>
        <w:rPr>
          <w:rFonts w:ascii="Times New Roman" w:hAnsi="Times New Roman" w:cs="Times New Roman"/>
          <w:sz w:val="20"/>
          <w:szCs w:val="20"/>
        </w:rPr>
      </w:pPr>
      <w:r w:rsidRPr="00B907B6">
        <w:rPr>
          <w:rFonts w:ascii="Times New Roman" w:hAnsi="Times New Roman" w:cs="Times New Roman"/>
          <w:sz w:val="20"/>
          <w:szCs w:val="20"/>
        </w:rPr>
        <w:t>D</w:t>
      </w:r>
      <w:r w:rsidRPr="00B907B6">
        <w:rPr>
          <w:rFonts w:ascii="Times New Roman" w:hAnsi="Times New Roman" w:cs="Times New Roman" w:hint="eastAsia"/>
          <w:sz w:val="20"/>
          <w:szCs w:val="20"/>
        </w:rPr>
        <w:t xml:space="preserve">ue </w:t>
      </w:r>
      <w:r w:rsidRPr="00B907B6">
        <w:rPr>
          <w:rFonts w:ascii="Times New Roman" w:hAnsi="Times New Roman" w:cs="Times New Roman"/>
          <w:sz w:val="20"/>
          <w:szCs w:val="20"/>
        </w:rPr>
        <w:t xml:space="preserve">to the uncertainty of LBT, </w:t>
      </w:r>
      <w:r w:rsidR="00AA2130" w:rsidRPr="00B907B6">
        <w:rPr>
          <w:rFonts w:ascii="Times New Roman" w:hAnsi="Times New Roman" w:cs="Times New Roman"/>
          <w:sz w:val="20"/>
          <w:szCs w:val="20"/>
        </w:rPr>
        <w:t>if a PDCCH is transmitted on a CORESET spanning multiple LBT subbands,</w:t>
      </w:r>
      <w:r w:rsidRPr="00B907B6">
        <w:rPr>
          <w:rFonts w:ascii="Times New Roman" w:hAnsi="Times New Roman" w:cs="Times New Roman"/>
          <w:sz w:val="20"/>
          <w:szCs w:val="20"/>
        </w:rPr>
        <w:t xml:space="preserve"> the UE </w:t>
      </w:r>
      <w:r w:rsidRPr="00B907B6">
        <w:rPr>
          <w:rFonts w:ascii="Times New Roman" w:hAnsi="Times New Roman" w:cs="Times New Roman" w:hint="eastAsia"/>
          <w:sz w:val="20"/>
          <w:szCs w:val="20"/>
        </w:rPr>
        <w:t xml:space="preserve">may </w:t>
      </w:r>
      <w:r w:rsidRPr="00B907B6">
        <w:rPr>
          <w:rFonts w:ascii="Times New Roman" w:hAnsi="Times New Roman" w:cs="Times New Roman"/>
          <w:sz w:val="20"/>
          <w:szCs w:val="20"/>
        </w:rPr>
        <w:t xml:space="preserve">not correctly detect the </w:t>
      </w:r>
      <w:r w:rsidR="00AA2130" w:rsidRPr="00B907B6">
        <w:rPr>
          <w:rFonts w:ascii="Times New Roman" w:hAnsi="Times New Roman" w:cs="Times New Roman"/>
          <w:sz w:val="20"/>
          <w:szCs w:val="20"/>
        </w:rPr>
        <w:t>PDCCH candidates</w:t>
      </w:r>
      <w:r w:rsidR="00532609" w:rsidRPr="00B907B6">
        <w:rPr>
          <w:rFonts w:ascii="Times New Roman" w:hAnsi="Times New Roman" w:cs="Times New Roman"/>
          <w:sz w:val="20"/>
          <w:szCs w:val="20"/>
        </w:rPr>
        <w:t xml:space="preserve"> due to partial puncturing</w:t>
      </w:r>
      <w:r w:rsidRPr="00B907B6">
        <w:rPr>
          <w:rFonts w:ascii="Times New Roman" w:hAnsi="Times New Roman" w:cs="Times New Roman"/>
          <w:sz w:val="20"/>
          <w:szCs w:val="20"/>
        </w:rPr>
        <w:t xml:space="preserve">. To avoid </w:t>
      </w:r>
      <w:r w:rsidR="00CE2D6D" w:rsidRPr="00B907B6">
        <w:rPr>
          <w:rFonts w:ascii="Times New Roman" w:hAnsi="Times New Roman" w:cs="Times New Roman"/>
          <w:sz w:val="20"/>
          <w:szCs w:val="20"/>
        </w:rPr>
        <w:t>such undesired</w:t>
      </w:r>
      <w:r w:rsidR="00CE2D6D" w:rsidRPr="00B907B6">
        <w:rPr>
          <w:rFonts w:ascii="Times New Roman" w:hAnsi="Times New Roman" w:cs="Times New Roman" w:hint="eastAsia"/>
          <w:sz w:val="20"/>
          <w:szCs w:val="20"/>
        </w:rPr>
        <w:t xml:space="preserve"> </w:t>
      </w:r>
      <w:r w:rsidR="00CE2D6D" w:rsidRPr="00B907B6">
        <w:rPr>
          <w:rFonts w:ascii="Times New Roman" w:hAnsi="Times New Roman" w:cs="Times New Roman"/>
          <w:sz w:val="20"/>
          <w:szCs w:val="20"/>
        </w:rPr>
        <w:t>transmission,</w:t>
      </w:r>
      <w:r w:rsidR="00CE2D6D" w:rsidRPr="00B907B6">
        <w:rPr>
          <w:rFonts w:ascii="Times New Roman" w:hAnsi="Times New Roman" w:cs="Times New Roman" w:hint="eastAsia"/>
          <w:sz w:val="20"/>
          <w:szCs w:val="20"/>
        </w:rPr>
        <w:t xml:space="preserve"> </w:t>
      </w:r>
      <w:r w:rsidR="00CE2D6D" w:rsidRPr="00B907B6">
        <w:rPr>
          <w:rFonts w:ascii="Times New Roman" w:hAnsi="Times New Roman" w:cs="Times New Roman"/>
          <w:sz w:val="20"/>
          <w:szCs w:val="20"/>
        </w:rPr>
        <w:t>in previous meeting, two approaches have been discussed:</w:t>
      </w:r>
    </w:p>
    <w:p w14:paraId="18CC8B0D" w14:textId="53BCF58D" w:rsidR="00CE2D6D" w:rsidRPr="00B907B6" w:rsidRDefault="00CE2D6D" w:rsidP="00407899">
      <w:pPr>
        <w:pStyle w:val="a3"/>
        <w:widowControl/>
        <w:numPr>
          <w:ilvl w:val="0"/>
          <w:numId w:val="41"/>
        </w:numPr>
        <w:spacing w:line="280" w:lineRule="exact"/>
        <w:ind w:leftChars="0" w:hanging="357"/>
        <w:contextualSpacing/>
        <w:jc w:val="both"/>
        <w:rPr>
          <w:rFonts w:ascii="Times New Roman" w:hAnsi="Times New Roman" w:cs="Times New Roman"/>
          <w:sz w:val="20"/>
          <w:szCs w:val="20"/>
        </w:rPr>
      </w:pPr>
      <w:r w:rsidRPr="00B907B6">
        <w:rPr>
          <w:rFonts w:ascii="Times New Roman" w:hAnsi="Times New Roman" w:cs="Times New Roman"/>
          <w:sz w:val="20"/>
          <w:szCs w:val="20"/>
        </w:rPr>
        <w:t>Alt 1: A CORESET is confined within one LBT subband</w:t>
      </w:r>
    </w:p>
    <w:p w14:paraId="79FF2771" w14:textId="1A457671" w:rsidR="00CE2D6D" w:rsidRPr="00B907B6" w:rsidRDefault="00ED295E" w:rsidP="00407899">
      <w:pPr>
        <w:pStyle w:val="a3"/>
        <w:widowControl/>
        <w:numPr>
          <w:ilvl w:val="1"/>
          <w:numId w:val="41"/>
        </w:numPr>
        <w:spacing w:line="280" w:lineRule="exact"/>
        <w:ind w:leftChars="0" w:hanging="357"/>
        <w:contextualSpacing/>
        <w:jc w:val="both"/>
        <w:rPr>
          <w:rFonts w:ascii="Times New Roman" w:hAnsi="Times New Roman" w:cs="Times New Roman"/>
          <w:sz w:val="20"/>
          <w:szCs w:val="20"/>
        </w:rPr>
      </w:pPr>
      <w:r w:rsidRPr="00B907B6">
        <w:rPr>
          <w:rFonts w:ascii="Times New Roman" w:hAnsi="Times New Roman" w:cs="Times New Roman"/>
          <w:sz w:val="20"/>
          <w:szCs w:val="20"/>
        </w:rPr>
        <w:t>Maximum n</w:t>
      </w:r>
      <w:r w:rsidR="00CE2D6D" w:rsidRPr="00B907B6">
        <w:rPr>
          <w:rFonts w:ascii="Times New Roman" w:hAnsi="Times New Roman" w:cs="Times New Roman"/>
          <w:sz w:val="20"/>
          <w:szCs w:val="20"/>
        </w:rPr>
        <w:t xml:space="preserve">umber of CORESETs per BWP is increased to </w:t>
      </w:r>
      <w:r w:rsidR="0024104E" w:rsidRPr="00B907B6">
        <w:rPr>
          <w:rFonts w:ascii="Times New Roman" w:hAnsi="Times New Roman" w:cs="Times New Roman"/>
          <w:sz w:val="20"/>
          <w:szCs w:val="20"/>
        </w:rPr>
        <w:t>[5]</w:t>
      </w:r>
    </w:p>
    <w:p w14:paraId="0722FE5E" w14:textId="3AA94433" w:rsidR="00CE2D6D" w:rsidRPr="00B907B6" w:rsidRDefault="00CE2D6D" w:rsidP="00407899">
      <w:pPr>
        <w:pStyle w:val="a3"/>
        <w:numPr>
          <w:ilvl w:val="0"/>
          <w:numId w:val="41"/>
        </w:numPr>
        <w:spacing w:line="280" w:lineRule="exact"/>
        <w:ind w:leftChars="0" w:hanging="357"/>
        <w:rPr>
          <w:rFonts w:ascii="Times New Roman" w:hAnsi="Times New Roman" w:cs="Times New Roman"/>
          <w:sz w:val="20"/>
          <w:szCs w:val="20"/>
        </w:rPr>
      </w:pPr>
      <w:r w:rsidRPr="00B907B6">
        <w:rPr>
          <w:rFonts w:ascii="Times New Roman" w:hAnsi="Times New Roman" w:cs="Times New Roman"/>
          <w:sz w:val="20"/>
          <w:szCs w:val="20"/>
        </w:rPr>
        <w:t>Alt 2: A CORESET can be confined within more than one LBT subbands</w:t>
      </w:r>
    </w:p>
    <w:p w14:paraId="29ECD1A3" w14:textId="2881C9AA" w:rsidR="00CE2D6D" w:rsidRPr="00B907B6" w:rsidRDefault="00407899" w:rsidP="00407899">
      <w:pPr>
        <w:pStyle w:val="a3"/>
        <w:widowControl/>
        <w:numPr>
          <w:ilvl w:val="1"/>
          <w:numId w:val="41"/>
        </w:numPr>
        <w:spacing w:line="280" w:lineRule="exact"/>
        <w:ind w:leftChars="0"/>
        <w:contextualSpacing/>
        <w:jc w:val="both"/>
        <w:rPr>
          <w:rFonts w:ascii="Times New Roman" w:hAnsi="Times New Roman" w:cs="Times New Roman"/>
          <w:sz w:val="20"/>
          <w:szCs w:val="20"/>
        </w:rPr>
      </w:pPr>
      <w:r w:rsidRPr="00B907B6">
        <w:rPr>
          <w:rFonts w:ascii="Times New Roman" w:hAnsi="Times New Roman" w:cs="Times New Roman"/>
          <w:sz w:val="20"/>
          <w:szCs w:val="20"/>
        </w:rPr>
        <w:t>PDCCH candidate configured to be confined within a LBT subband</w:t>
      </w:r>
    </w:p>
    <w:p w14:paraId="7D56A50F" w14:textId="6BF6AC58" w:rsidR="006F6730" w:rsidRPr="00B907B6" w:rsidRDefault="00407899" w:rsidP="00962A2B">
      <w:pPr>
        <w:snapToGrid w:val="0"/>
        <w:spacing w:before="240" w:after="240" w:line="280" w:lineRule="exact"/>
        <w:jc w:val="both"/>
        <w:rPr>
          <w:rFonts w:ascii="Times New Roman" w:hAnsi="Times New Roman" w:cs="Times New Roman"/>
          <w:sz w:val="20"/>
          <w:szCs w:val="20"/>
        </w:rPr>
      </w:pPr>
      <w:r w:rsidRPr="00B907B6">
        <w:rPr>
          <w:rFonts w:ascii="Times New Roman" w:hAnsi="Times New Roman" w:cs="Times New Roman" w:hint="eastAsia"/>
          <w:sz w:val="20"/>
          <w:szCs w:val="20"/>
        </w:rPr>
        <w:t>C</w:t>
      </w:r>
      <w:r w:rsidRPr="00B907B6">
        <w:rPr>
          <w:rFonts w:ascii="Times New Roman" w:hAnsi="Times New Roman" w:cs="Times New Roman"/>
          <w:sz w:val="20"/>
          <w:szCs w:val="20"/>
        </w:rPr>
        <w:t>onsidering</w:t>
      </w:r>
      <w:r w:rsidRPr="00B907B6">
        <w:rPr>
          <w:rFonts w:ascii="Times New Roman" w:hAnsi="Times New Roman" w:cs="Times New Roman" w:hint="eastAsia"/>
          <w:sz w:val="20"/>
          <w:szCs w:val="20"/>
        </w:rPr>
        <w:t xml:space="preserve"> </w:t>
      </w:r>
      <w:r w:rsidRPr="00B907B6">
        <w:rPr>
          <w:rFonts w:ascii="Times New Roman" w:hAnsi="Times New Roman" w:cs="Times New Roman"/>
          <w:sz w:val="20"/>
          <w:szCs w:val="20"/>
        </w:rPr>
        <w:t xml:space="preserve">specification and implementation impacts, we should reuse CORESET/PDCCH structure defined in NR Rel-15 as much as possible. Compared with Alt 1, Alt 2 requires to modify the CCE/REG mapping and/or search space hashing operation considering each LBT </w:t>
      </w:r>
      <w:r w:rsidR="006F6730" w:rsidRPr="00B907B6">
        <w:rPr>
          <w:rFonts w:ascii="Times New Roman" w:hAnsi="Times New Roman" w:cs="Times New Roman"/>
          <w:sz w:val="20"/>
          <w:szCs w:val="20"/>
        </w:rPr>
        <w:t>subband</w:t>
      </w:r>
      <w:r w:rsidRPr="00B907B6">
        <w:rPr>
          <w:rFonts w:ascii="Times New Roman" w:hAnsi="Times New Roman" w:cs="Times New Roman"/>
          <w:sz w:val="20"/>
          <w:szCs w:val="20"/>
        </w:rPr>
        <w:t xml:space="preserve">, which results in additional </w:t>
      </w:r>
      <w:r w:rsidR="006F6730" w:rsidRPr="00B907B6">
        <w:rPr>
          <w:rFonts w:ascii="Times New Roman" w:hAnsi="Times New Roman" w:cs="Times New Roman"/>
          <w:sz w:val="20"/>
          <w:szCs w:val="20"/>
        </w:rPr>
        <w:t>much larger specification and implementation impacts</w:t>
      </w:r>
      <w:r w:rsidRPr="00B907B6">
        <w:rPr>
          <w:rFonts w:ascii="Times New Roman" w:hAnsi="Times New Roman" w:cs="Times New Roman"/>
          <w:sz w:val="20"/>
          <w:szCs w:val="20"/>
        </w:rPr>
        <w:t>.</w:t>
      </w:r>
      <w:r w:rsidR="006F6730" w:rsidRPr="00B907B6">
        <w:rPr>
          <w:rFonts w:ascii="Times New Roman" w:hAnsi="Times New Roman" w:cs="Times New Roman"/>
          <w:sz w:val="20"/>
          <w:szCs w:val="20"/>
        </w:rPr>
        <w:t xml:space="preserve"> In addition, in previous meeting,</w:t>
      </w:r>
      <w:r w:rsidR="006F6730" w:rsidRPr="00B907B6">
        <w:rPr>
          <w:rFonts w:ascii="Times New Roman" w:hAnsi="Times New Roman" w:cs="Times New Roman" w:hint="eastAsia"/>
          <w:sz w:val="20"/>
          <w:szCs w:val="20"/>
        </w:rPr>
        <w:t xml:space="preserve"> </w:t>
      </w:r>
      <w:r w:rsidR="006F6730" w:rsidRPr="00B907B6">
        <w:rPr>
          <w:rFonts w:ascii="Times New Roman" w:hAnsi="Times New Roman" w:cs="Times New Roman"/>
          <w:sz w:val="20"/>
          <w:szCs w:val="20"/>
        </w:rPr>
        <w:t>there was an agreement in MIMO agenda to increase maximum number of CORESETs to [</w:t>
      </w:r>
      <w:r w:rsidR="006F6730" w:rsidRPr="00B907B6">
        <w:rPr>
          <w:rFonts w:ascii="Times New Roman" w:hAnsi="Times New Roman" w:cs="Times New Roman" w:hint="eastAsia"/>
          <w:sz w:val="20"/>
          <w:szCs w:val="20"/>
        </w:rPr>
        <w:t>5</w:t>
      </w:r>
      <w:r w:rsidR="006F6730" w:rsidRPr="00B907B6">
        <w:rPr>
          <w:rFonts w:ascii="Times New Roman" w:hAnsi="Times New Roman" w:cs="Times New Roman"/>
          <w:sz w:val="20"/>
          <w:szCs w:val="20"/>
        </w:rPr>
        <w:t>], and we could utilize this aspects not only for multi-TRP operation but also for NR-U wideband operation. If there is an enough number of CORESETs per BWP to confine a CORESET within each LBT subband, it is desirable to use Alt 1 because it is a straightforward way to deal with wideband operation.</w:t>
      </w:r>
    </w:p>
    <w:p w14:paraId="013BC679" w14:textId="7A045B68" w:rsidR="006F6730" w:rsidRPr="00B907B6" w:rsidRDefault="0024104E" w:rsidP="00787F88">
      <w:pPr>
        <w:spacing w:line="280" w:lineRule="exact"/>
        <w:jc w:val="both"/>
        <w:rPr>
          <w:rFonts w:ascii="Times New Roman" w:hAnsi="Times New Roman" w:cs="Times New Roman"/>
          <w:sz w:val="20"/>
          <w:szCs w:val="20"/>
        </w:rPr>
      </w:pPr>
      <w:r w:rsidRPr="00B907B6">
        <w:rPr>
          <w:rFonts w:ascii="Times New Roman" w:hAnsi="Times New Roman" w:cs="Times New Roman"/>
          <w:sz w:val="20"/>
          <w:szCs w:val="20"/>
        </w:rPr>
        <w:t xml:space="preserve">However, since the purpose of increasing the maximum number of CORESETs per BWP </w:t>
      </w:r>
      <w:r w:rsidR="0013374D" w:rsidRPr="00B907B6">
        <w:rPr>
          <w:rFonts w:ascii="Times New Roman" w:hAnsi="Times New Roman" w:cs="Times New Roman"/>
          <w:sz w:val="20"/>
          <w:szCs w:val="20"/>
        </w:rPr>
        <w:t>for</w:t>
      </w:r>
      <w:r w:rsidRPr="00B907B6">
        <w:rPr>
          <w:rFonts w:ascii="Times New Roman" w:hAnsi="Times New Roman" w:cs="Times New Roman"/>
          <w:sz w:val="20"/>
          <w:szCs w:val="20"/>
        </w:rPr>
        <w:t xml:space="preserve"> NR-U operation</w:t>
      </w:r>
      <w:r w:rsidRPr="00B907B6">
        <w:rPr>
          <w:rFonts w:ascii="Times New Roman" w:hAnsi="Times New Roman" w:cs="Times New Roman" w:hint="eastAsia"/>
          <w:sz w:val="20"/>
          <w:szCs w:val="20"/>
        </w:rPr>
        <w:t xml:space="preserve"> is </w:t>
      </w:r>
      <w:r w:rsidRPr="00B907B6">
        <w:rPr>
          <w:rFonts w:ascii="Times New Roman" w:hAnsi="Times New Roman" w:cs="Times New Roman"/>
          <w:sz w:val="20"/>
          <w:szCs w:val="20"/>
        </w:rPr>
        <w:t>different</w:t>
      </w:r>
      <w:r w:rsidRPr="00B907B6">
        <w:rPr>
          <w:rFonts w:ascii="Times New Roman" w:hAnsi="Times New Roman" w:cs="Times New Roman" w:hint="eastAsia"/>
          <w:sz w:val="20"/>
          <w:szCs w:val="20"/>
        </w:rPr>
        <w:t xml:space="preserve"> </w:t>
      </w:r>
      <w:r w:rsidRPr="00B907B6">
        <w:rPr>
          <w:rFonts w:ascii="Times New Roman" w:hAnsi="Times New Roman" w:cs="Times New Roman"/>
          <w:sz w:val="20"/>
          <w:szCs w:val="20"/>
        </w:rPr>
        <w:t xml:space="preserve">from the purpose </w:t>
      </w:r>
      <w:r w:rsidR="0013374D" w:rsidRPr="00B907B6">
        <w:rPr>
          <w:rFonts w:ascii="Times New Roman" w:hAnsi="Times New Roman" w:cs="Times New Roman"/>
          <w:sz w:val="20"/>
          <w:szCs w:val="20"/>
        </w:rPr>
        <w:t>for</w:t>
      </w:r>
      <w:r w:rsidRPr="00B907B6">
        <w:rPr>
          <w:rFonts w:ascii="Times New Roman" w:hAnsi="Times New Roman" w:cs="Times New Roman"/>
          <w:sz w:val="20"/>
          <w:szCs w:val="20"/>
        </w:rPr>
        <w:t xml:space="preserve"> multi-TRP operation. To reduce</w:t>
      </w:r>
      <w:r w:rsidR="006F6730" w:rsidRPr="00B907B6">
        <w:rPr>
          <w:rFonts w:ascii="Times New Roman" w:hAnsi="Times New Roman" w:cs="Times New Roman"/>
          <w:sz w:val="20"/>
          <w:szCs w:val="20"/>
        </w:rPr>
        <w:t xml:space="preserve"> implementation complexity</w:t>
      </w:r>
      <w:r w:rsidR="0013374D" w:rsidRPr="00B907B6">
        <w:rPr>
          <w:rFonts w:ascii="Times New Roman" w:hAnsi="Times New Roman" w:cs="Times New Roman"/>
          <w:sz w:val="20"/>
          <w:szCs w:val="20"/>
        </w:rPr>
        <w:t xml:space="preserve">, some properties of </w:t>
      </w:r>
      <w:r w:rsidR="00787F88" w:rsidRPr="00B907B6">
        <w:rPr>
          <w:rFonts w:ascii="Times New Roman" w:hAnsi="Times New Roman" w:cs="Times New Roman"/>
          <w:sz w:val="20"/>
          <w:szCs w:val="20"/>
        </w:rPr>
        <w:t>multiple</w:t>
      </w:r>
      <w:r w:rsidR="006F6730" w:rsidRPr="00B907B6">
        <w:rPr>
          <w:rFonts w:ascii="Times New Roman" w:hAnsi="Times New Roman" w:cs="Times New Roman"/>
          <w:sz w:val="20"/>
          <w:szCs w:val="20"/>
        </w:rPr>
        <w:t xml:space="preserve"> CORESET</w:t>
      </w:r>
      <w:r w:rsidR="0013374D" w:rsidRPr="00B907B6">
        <w:rPr>
          <w:rFonts w:ascii="Times New Roman" w:hAnsi="Times New Roman" w:cs="Times New Roman"/>
          <w:sz w:val="20"/>
          <w:szCs w:val="20"/>
        </w:rPr>
        <w:t xml:space="preserve">s </w:t>
      </w:r>
      <w:r w:rsidR="00C85E87" w:rsidRPr="00B907B6">
        <w:rPr>
          <w:rFonts w:ascii="Times New Roman" w:hAnsi="Times New Roman" w:cs="Times New Roman"/>
          <w:sz w:val="20"/>
          <w:szCs w:val="20"/>
        </w:rPr>
        <w:t>across</w:t>
      </w:r>
      <w:r w:rsidR="0013374D" w:rsidRPr="00B907B6">
        <w:rPr>
          <w:rFonts w:ascii="Times New Roman" w:hAnsi="Times New Roman" w:cs="Times New Roman"/>
          <w:sz w:val="20"/>
          <w:szCs w:val="20"/>
        </w:rPr>
        <w:t xml:space="preserve"> different LBT sub</w:t>
      </w:r>
      <w:r w:rsidR="006F6730" w:rsidRPr="00B907B6">
        <w:rPr>
          <w:rFonts w:ascii="Times New Roman" w:hAnsi="Times New Roman" w:cs="Times New Roman"/>
          <w:sz w:val="20"/>
          <w:szCs w:val="20"/>
        </w:rPr>
        <w:t>band</w:t>
      </w:r>
      <w:r w:rsidR="0013374D" w:rsidRPr="00B907B6">
        <w:rPr>
          <w:rFonts w:ascii="Times New Roman" w:hAnsi="Times New Roman" w:cs="Times New Roman"/>
          <w:sz w:val="20"/>
          <w:szCs w:val="20"/>
        </w:rPr>
        <w:t xml:space="preserve">s </w:t>
      </w:r>
      <w:r w:rsidR="00C85E87" w:rsidRPr="00B907B6">
        <w:rPr>
          <w:rFonts w:ascii="Times New Roman" w:hAnsi="Times New Roman" w:cs="Times New Roman"/>
          <w:sz w:val="20"/>
          <w:szCs w:val="20"/>
        </w:rPr>
        <w:t>could</w:t>
      </w:r>
      <w:r w:rsidR="0013374D" w:rsidRPr="00B907B6">
        <w:rPr>
          <w:rFonts w:ascii="Times New Roman" w:hAnsi="Times New Roman" w:cs="Times New Roman"/>
          <w:sz w:val="20"/>
          <w:szCs w:val="20"/>
        </w:rPr>
        <w:t xml:space="preserve"> be restricted to be the same, e.g., </w:t>
      </w:r>
      <w:r w:rsidR="006F6730" w:rsidRPr="00B907B6">
        <w:rPr>
          <w:rFonts w:ascii="Times New Roman" w:hAnsi="Times New Roman" w:cs="Times New Roman"/>
          <w:sz w:val="20"/>
          <w:szCs w:val="20"/>
        </w:rPr>
        <w:t xml:space="preserve">TCI </w:t>
      </w:r>
      <w:r w:rsidR="00BD3C09" w:rsidRPr="00B907B6">
        <w:rPr>
          <w:rFonts w:ascii="Times New Roman" w:hAnsi="Times New Roman" w:cs="Times New Roman"/>
          <w:sz w:val="20"/>
          <w:szCs w:val="20"/>
        </w:rPr>
        <w:t>s</w:t>
      </w:r>
      <w:r w:rsidR="009A7040" w:rsidRPr="00B907B6">
        <w:rPr>
          <w:rFonts w:ascii="Times New Roman" w:hAnsi="Times New Roman" w:cs="Times New Roman"/>
          <w:sz w:val="20"/>
          <w:szCs w:val="20"/>
        </w:rPr>
        <w:t xml:space="preserve">tate configurations. </w:t>
      </w:r>
      <w:r w:rsidR="00787F88" w:rsidRPr="00B907B6">
        <w:rPr>
          <w:rFonts w:ascii="Times New Roman" w:hAnsi="Times New Roman" w:cs="Times New Roman"/>
          <w:sz w:val="20"/>
          <w:szCs w:val="20"/>
        </w:rPr>
        <w:t>Meanwhile</w:t>
      </w:r>
      <w:r w:rsidR="009A7040" w:rsidRPr="00B907B6">
        <w:rPr>
          <w:rFonts w:ascii="Times New Roman" w:hAnsi="Times New Roman" w:cs="Times New Roman"/>
          <w:sz w:val="20"/>
          <w:szCs w:val="20"/>
        </w:rPr>
        <w:t>, from the UE’s perspective, the</w:t>
      </w:r>
      <w:r w:rsidR="00C85E87" w:rsidRPr="00B907B6">
        <w:rPr>
          <w:rFonts w:ascii="Times New Roman" w:hAnsi="Times New Roman" w:cs="Times New Roman"/>
          <w:sz w:val="20"/>
          <w:szCs w:val="20"/>
        </w:rPr>
        <w:t xml:space="preserve"> requirements in PDCCH processing and decoding capabilities are not increased compared to NR Rel-15</w:t>
      </w:r>
      <w:r w:rsidR="009A7040" w:rsidRPr="00B907B6">
        <w:rPr>
          <w:rFonts w:ascii="Times New Roman" w:hAnsi="Times New Roman" w:cs="Times New Roman"/>
          <w:sz w:val="20"/>
          <w:szCs w:val="20"/>
        </w:rPr>
        <w:t>.</w:t>
      </w:r>
    </w:p>
    <w:p w14:paraId="1329794E" w14:textId="77777777" w:rsidR="009A7040" w:rsidRPr="00B907B6" w:rsidRDefault="009A7040" w:rsidP="0024104E">
      <w:pPr>
        <w:spacing w:line="280" w:lineRule="exact"/>
        <w:jc w:val="both"/>
        <w:rPr>
          <w:rFonts w:ascii="Times New Roman" w:hAnsi="Times New Roman" w:cs="Times New Roman"/>
          <w:sz w:val="20"/>
          <w:szCs w:val="20"/>
        </w:rPr>
      </w:pPr>
    </w:p>
    <w:p w14:paraId="189B8E99" w14:textId="77777777" w:rsidR="0013374D" w:rsidRPr="00B907B6" w:rsidRDefault="0013374D" w:rsidP="0013374D">
      <w:pPr>
        <w:snapToGrid w:val="0"/>
        <w:spacing w:before="240" w:line="360" w:lineRule="auto"/>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5: NR-U CORESET configuration is confined within one LBT subband.</w:t>
      </w:r>
    </w:p>
    <w:p w14:paraId="22BA4692" w14:textId="77777777" w:rsidR="0013374D" w:rsidRPr="00B907B6" w:rsidRDefault="0013374D" w:rsidP="0013374D">
      <w:pPr>
        <w:snapToGrid w:val="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6: Increase the maximum number of CORESETs per BWP to 5 as agreed in MIMO agenda.</w:t>
      </w:r>
    </w:p>
    <w:p w14:paraId="13F07054" w14:textId="68C29D09" w:rsidR="0013374D" w:rsidRPr="00B907B6" w:rsidRDefault="0013374D" w:rsidP="00B907B6">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Further study how to reduce the implementation comple</w:t>
      </w:r>
      <w:r w:rsidR="00BD3C09" w:rsidRPr="00B907B6">
        <w:rPr>
          <w:rFonts w:ascii="Times New Roman" w:hAnsi="Times New Roman" w:cs="Times New Roman"/>
          <w:b/>
          <w:color w:val="000000" w:themeColor="text1"/>
          <w:sz w:val="20"/>
          <w:szCs w:val="20"/>
        </w:rPr>
        <w:t>xity</w:t>
      </w:r>
    </w:p>
    <w:p w14:paraId="0310F26E" w14:textId="103E9670" w:rsidR="009A7040" w:rsidRPr="00B907B6" w:rsidRDefault="00C85E87" w:rsidP="00B907B6">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The requirements in PDCCH processing and decoding capabilities are not increased compared to NR Rel-15</w:t>
      </w:r>
    </w:p>
    <w:p w14:paraId="03A2379A" w14:textId="77777777" w:rsidR="006F6730" w:rsidRDefault="006F6730" w:rsidP="00ED295E">
      <w:pPr>
        <w:snapToGrid w:val="0"/>
        <w:spacing w:before="240" w:after="240"/>
        <w:jc w:val="both"/>
        <w:rPr>
          <w:rFonts w:ascii="Times New Roman" w:hAnsi="Times New Roman" w:cs="Times New Roman"/>
          <w:sz w:val="22"/>
        </w:rPr>
      </w:pPr>
    </w:p>
    <w:p w14:paraId="759D38FF" w14:textId="30CAFE6B" w:rsidR="00787F88" w:rsidRPr="00B23FE1" w:rsidRDefault="00676246" w:rsidP="00787F88">
      <w:pPr>
        <w:pStyle w:val="a3"/>
        <w:numPr>
          <w:ilvl w:val="1"/>
          <w:numId w:val="5"/>
        </w:numPr>
        <w:snapToGrid w:val="0"/>
        <w:spacing w:after="240"/>
        <w:ind w:leftChars="0"/>
        <w:contextualSpacing/>
        <w:jc w:val="both"/>
        <w:outlineLvl w:val="1"/>
        <w:rPr>
          <w:rFonts w:ascii="Arial" w:hAnsi="Arial" w:cs="Arial"/>
          <w:b/>
          <w:szCs w:val="24"/>
        </w:rPr>
      </w:pPr>
      <w:r>
        <w:rPr>
          <w:rFonts w:ascii="Arial" w:hAnsi="Arial" w:cs="Arial"/>
          <w:b/>
          <w:szCs w:val="24"/>
        </w:rPr>
        <w:t xml:space="preserve"> Frequency domain resource allocation for </w:t>
      </w:r>
      <w:r>
        <w:rPr>
          <w:rFonts w:ascii="Arial" w:hAnsi="Arial" w:cs="Arial" w:hint="eastAsia"/>
          <w:b/>
          <w:szCs w:val="24"/>
        </w:rPr>
        <w:t xml:space="preserve">interlaced </w:t>
      </w:r>
      <w:r>
        <w:rPr>
          <w:rFonts w:ascii="Arial" w:hAnsi="Arial" w:cs="Arial"/>
          <w:b/>
          <w:szCs w:val="24"/>
        </w:rPr>
        <w:t>PUCCH</w:t>
      </w:r>
    </w:p>
    <w:p w14:paraId="0DCDCA65" w14:textId="6EA11BA8" w:rsidR="009D3F80" w:rsidRPr="00B907B6" w:rsidRDefault="009D3F80" w:rsidP="00787F88">
      <w:pPr>
        <w:snapToGrid w:val="0"/>
        <w:spacing w:before="240" w:after="240"/>
        <w:jc w:val="both"/>
        <w:rPr>
          <w:rFonts w:ascii="Times New Roman" w:hAnsi="Times New Roman" w:cs="Times New Roman"/>
          <w:sz w:val="20"/>
          <w:szCs w:val="20"/>
        </w:rPr>
      </w:pPr>
      <w:r w:rsidRPr="00B907B6">
        <w:rPr>
          <w:rFonts w:ascii="Times New Roman" w:hAnsi="Times New Roman" w:cs="Times New Roman"/>
          <w:sz w:val="20"/>
          <w:szCs w:val="20"/>
        </w:rPr>
        <w:t>For</w:t>
      </w:r>
      <w:r w:rsidR="00532609" w:rsidRPr="00B907B6">
        <w:rPr>
          <w:rFonts w:ascii="Times New Roman" w:hAnsi="Times New Roman" w:cs="Times New Roman"/>
          <w:sz w:val="20"/>
          <w:szCs w:val="20"/>
        </w:rPr>
        <w:t xml:space="preserve"> PUCCH</w:t>
      </w:r>
      <w:r w:rsidR="00390CDA" w:rsidRPr="00B907B6">
        <w:rPr>
          <w:rFonts w:ascii="Times New Roman" w:hAnsi="Times New Roman" w:cs="Times New Roman" w:hint="eastAsia"/>
          <w:sz w:val="20"/>
          <w:szCs w:val="20"/>
        </w:rPr>
        <w:t xml:space="preserve"> </w:t>
      </w:r>
      <w:r w:rsidR="00390CDA" w:rsidRPr="00B907B6">
        <w:rPr>
          <w:rFonts w:ascii="Times New Roman" w:hAnsi="Times New Roman" w:cs="Times New Roman"/>
          <w:sz w:val="20"/>
          <w:szCs w:val="20"/>
        </w:rPr>
        <w:t>design</w:t>
      </w:r>
      <w:r w:rsidR="009D4EFE" w:rsidRPr="00B907B6">
        <w:rPr>
          <w:rFonts w:ascii="Times New Roman" w:hAnsi="Times New Roman" w:cs="Times New Roman" w:hint="eastAsia"/>
          <w:sz w:val="20"/>
          <w:szCs w:val="20"/>
        </w:rPr>
        <w:t xml:space="preserve"> </w:t>
      </w:r>
      <w:r w:rsidR="009D4EFE" w:rsidRPr="00B907B6">
        <w:rPr>
          <w:rFonts w:ascii="Times New Roman" w:hAnsi="Times New Roman" w:cs="Times New Roman"/>
          <w:sz w:val="20"/>
          <w:szCs w:val="20"/>
        </w:rPr>
        <w:t>in</w:t>
      </w:r>
      <w:r w:rsidR="009D4EFE" w:rsidRPr="00B907B6">
        <w:rPr>
          <w:sz w:val="20"/>
          <w:szCs w:val="20"/>
        </w:rPr>
        <w:t xml:space="preserve"> </w:t>
      </w:r>
      <w:r w:rsidR="00532609" w:rsidRPr="00B907B6">
        <w:rPr>
          <w:rFonts w:ascii="Times New Roman" w:hAnsi="Times New Roman" w:cs="Times New Roman"/>
          <w:sz w:val="20"/>
          <w:szCs w:val="20"/>
        </w:rPr>
        <w:t>wideband operation, we have the sam</w:t>
      </w:r>
      <w:r w:rsidRPr="00B907B6">
        <w:rPr>
          <w:rFonts w:ascii="Times New Roman" w:hAnsi="Times New Roman" w:cs="Times New Roman"/>
          <w:sz w:val="20"/>
          <w:szCs w:val="20"/>
        </w:rPr>
        <w:t>e view as CORESET configuration. A</w:t>
      </w:r>
      <w:r w:rsidR="00532609" w:rsidRPr="00B907B6">
        <w:rPr>
          <w:rFonts w:ascii="Times New Roman" w:hAnsi="Times New Roman" w:cs="Times New Roman"/>
          <w:sz w:val="20"/>
          <w:szCs w:val="20"/>
        </w:rPr>
        <w:t xml:space="preserve"> PUCCH resource should be restricted within one LBT subband to avoid partial puncturing </w:t>
      </w:r>
      <w:r w:rsidR="009D4EFE" w:rsidRPr="00B907B6">
        <w:rPr>
          <w:rFonts w:ascii="Times New Roman" w:hAnsi="Times New Roman" w:cs="Times New Roman"/>
          <w:sz w:val="20"/>
          <w:szCs w:val="20"/>
        </w:rPr>
        <w:t>d</w:t>
      </w:r>
      <w:r w:rsidR="009D4EFE" w:rsidRPr="00B907B6">
        <w:rPr>
          <w:rFonts w:ascii="Times New Roman" w:hAnsi="Times New Roman" w:cs="Times New Roman" w:hint="eastAsia"/>
          <w:sz w:val="20"/>
          <w:szCs w:val="20"/>
        </w:rPr>
        <w:t xml:space="preserve">ue </w:t>
      </w:r>
      <w:r w:rsidR="009D4EFE" w:rsidRPr="00B907B6">
        <w:rPr>
          <w:rFonts w:ascii="Times New Roman" w:hAnsi="Times New Roman" w:cs="Times New Roman"/>
          <w:sz w:val="20"/>
          <w:szCs w:val="20"/>
        </w:rPr>
        <w:t>to the uncertainty of LBT</w:t>
      </w:r>
      <w:r w:rsidR="00532609" w:rsidRPr="00B907B6">
        <w:rPr>
          <w:rFonts w:ascii="Times New Roman" w:hAnsi="Times New Roman" w:cs="Times New Roman"/>
          <w:sz w:val="20"/>
          <w:szCs w:val="20"/>
        </w:rPr>
        <w:t>.</w:t>
      </w:r>
      <w:r w:rsidR="009D4EFE" w:rsidRPr="00B907B6">
        <w:rPr>
          <w:rFonts w:ascii="Times New Roman" w:hAnsi="Times New Roman" w:cs="Times New Roman" w:hint="eastAsia"/>
          <w:sz w:val="20"/>
          <w:szCs w:val="20"/>
        </w:rPr>
        <w:t xml:space="preserve"> </w:t>
      </w:r>
    </w:p>
    <w:p w14:paraId="4A4F7000" w14:textId="2A03723F" w:rsidR="009D3F80" w:rsidRPr="00B907B6" w:rsidRDefault="00887050" w:rsidP="009D3F80">
      <w:pPr>
        <w:snapToGrid w:val="0"/>
        <w:spacing w:before="240" w:line="360" w:lineRule="auto"/>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7</w:t>
      </w:r>
      <w:r w:rsidR="009D3F80" w:rsidRPr="00B907B6">
        <w:rPr>
          <w:rFonts w:ascii="Times New Roman" w:hAnsi="Times New Roman" w:cs="Times New Roman"/>
          <w:b/>
          <w:color w:val="000000" w:themeColor="text1"/>
          <w:sz w:val="20"/>
          <w:szCs w:val="20"/>
        </w:rPr>
        <w:t>: An NR-U PUCCH resource is confined within one LBT subband.</w:t>
      </w:r>
    </w:p>
    <w:p w14:paraId="3423B921" w14:textId="77777777" w:rsidR="009D3F80" w:rsidRPr="00B907B6" w:rsidRDefault="009D3F80" w:rsidP="00F76BD2">
      <w:pPr>
        <w:snapToGrid w:val="0"/>
        <w:jc w:val="both"/>
        <w:rPr>
          <w:rFonts w:ascii="Times New Roman" w:hAnsi="Times New Roman" w:cs="Times New Roman"/>
          <w:sz w:val="20"/>
          <w:szCs w:val="20"/>
        </w:rPr>
      </w:pPr>
    </w:p>
    <w:p w14:paraId="4BDD1896" w14:textId="7251A2F8" w:rsidR="00675479" w:rsidRPr="00B907B6" w:rsidRDefault="00D366F8" w:rsidP="00887050">
      <w:pPr>
        <w:snapToGrid w:val="0"/>
        <w:spacing w:after="240"/>
        <w:jc w:val="both"/>
        <w:rPr>
          <w:rFonts w:ascii="Times New Roman" w:hAnsi="Times New Roman" w:cs="Times New Roman"/>
          <w:sz w:val="20"/>
          <w:szCs w:val="20"/>
        </w:rPr>
      </w:pPr>
      <w:r w:rsidRPr="00B907B6">
        <w:rPr>
          <w:rFonts w:ascii="Times New Roman" w:hAnsi="Times New Roman" w:cs="Times New Roman" w:hint="eastAsia"/>
          <w:sz w:val="20"/>
          <w:szCs w:val="20"/>
        </w:rPr>
        <w:t>I</w:t>
      </w:r>
      <w:r w:rsidRPr="00B907B6">
        <w:rPr>
          <w:rFonts w:ascii="Times New Roman" w:hAnsi="Times New Roman" w:cs="Times New Roman"/>
          <w:sz w:val="20"/>
          <w:szCs w:val="20"/>
        </w:rPr>
        <w:t>n NR-U, for a 20 MHz carrier bandwidth, it was agreed that</w:t>
      </w:r>
      <w:r w:rsidR="000C6337">
        <w:rPr>
          <w:rFonts w:ascii="Times New Roman" w:hAnsi="Times New Roman" w:cs="Times New Roman"/>
          <w:sz w:val="20"/>
          <w:szCs w:val="20"/>
        </w:rPr>
        <w:t xml:space="preserve"> NR</w:t>
      </w:r>
      <w:r w:rsidRPr="00B907B6">
        <w:rPr>
          <w:rFonts w:ascii="Times New Roman" w:hAnsi="Times New Roman" w:cs="Times New Roman"/>
          <w:sz w:val="20"/>
          <w:szCs w:val="20"/>
        </w:rPr>
        <w:t xml:space="preserve"> Rel-15 PUCCH formats PF0, PF1, PF2, and PF3 are enhanced to support mapping to physical resources of at least one full interlace. To </w:t>
      </w:r>
      <w:r w:rsidR="003D2D57">
        <w:rPr>
          <w:rFonts w:ascii="Times New Roman" w:hAnsi="Times New Roman" w:cs="Times New Roman"/>
          <w:sz w:val="20"/>
          <w:szCs w:val="20"/>
        </w:rPr>
        <w:t xml:space="preserve">allocate </w:t>
      </w:r>
      <w:r w:rsidRPr="00B907B6">
        <w:rPr>
          <w:rFonts w:ascii="Times New Roman" w:hAnsi="Times New Roman" w:cs="Times New Roman"/>
          <w:sz w:val="20"/>
          <w:szCs w:val="20"/>
        </w:rPr>
        <w:t>frequen</w:t>
      </w:r>
      <w:bookmarkStart w:id="1" w:name="_GoBack"/>
      <w:bookmarkEnd w:id="1"/>
      <w:r w:rsidRPr="00B907B6">
        <w:rPr>
          <w:rFonts w:ascii="Times New Roman" w:hAnsi="Times New Roman" w:cs="Times New Roman"/>
          <w:sz w:val="20"/>
          <w:szCs w:val="20"/>
        </w:rPr>
        <w:t xml:space="preserve">cy domain </w:t>
      </w:r>
      <w:r w:rsidR="00675479" w:rsidRPr="00B907B6">
        <w:rPr>
          <w:rFonts w:ascii="Times New Roman" w:hAnsi="Times New Roman" w:cs="Times New Roman"/>
          <w:sz w:val="20"/>
          <w:szCs w:val="20"/>
        </w:rPr>
        <w:t xml:space="preserve">physical </w:t>
      </w:r>
      <w:r w:rsidRPr="00B907B6">
        <w:rPr>
          <w:rFonts w:ascii="Times New Roman" w:hAnsi="Times New Roman" w:cs="Times New Roman"/>
          <w:sz w:val="20"/>
          <w:szCs w:val="20"/>
        </w:rPr>
        <w:t xml:space="preserve">resources for an interlaced PUCCH, </w:t>
      </w:r>
      <w:r w:rsidR="00675479" w:rsidRPr="00B907B6">
        <w:rPr>
          <w:rFonts w:ascii="Times New Roman" w:hAnsi="Times New Roman" w:cs="Times New Roman"/>
          <w:sz w:val="20"/>
          <w:szCs w:val="20"/>
        </w:rPr>
        <w:t>NR Rel-15</w:t>
      </w:r>
      <w:r w:rsidR="00596B82" w:rsidRPr="00B907B6">
        <w:rPr>
          <w:rFonts w:ascii="Times New Roman" w:hAnsi="Times New Roman" w:cs="Times New Roman"/>
          <w:sz w:val="20"/>
          <w:szCs w:val="20"/>
        </w:rPr>
        <w:t xml:space="preserve"> PUCCH resource</w:t>
      </w:r>
      <w:r w:rsidR="00302F37">
        <w:rPr>
          <w:rFonts w:ascii="Times New Roman" w:hAnsi="Times New Roman" w:cs="Times New Roman"/>
          <w:sz w:val="20"/>
          <w:szCs w:val="20"/>
        </w:rPr>
        <w:t xml:space="preserve"> and format</w:t>
      </w:r>
      <w:r w:rsidR="00596B82" w:rsidRPr="00B907B6">
        <w:rPr>
          <w:rFonts w:ascii="Times New Roman" w:hAnsi="Times New Roman" w:cs="Times New Roman"/>
          <w:sz w:val="20"/>
          <w:szCs w:val="20"/>
        </w:rPr>
        <w:t xml:space="preserve"> configuration</w:t>
      </w:r>
      <w:r w:rsidR="00302F37">
        <w:rPr>
          <w:rFonts w:ascii="Times New Roman" w:hAnsi="Times New Roman" w:cs="Times New Roman"/>
          <w:sz w:val="20"/>
          <w:szCs w:val="20"/>
        </w:rPr>
        <w:t>s</w:t>
      </w:r>
      <w:r w:rsidR="00675479" w:rsidRPr="00B907B6">
        <w:rPr>
          <w:rFonts w:ascii="Times New Roman" w:hAnsi="Times New Roman" w:cs="Times New Roman"/>
          <w:sz w:val="20"/>
          <w:szCs w:val="20"/>
        </w:rPr>
        <w:t xml:space="preserve"> could be </w:t>
      </w:r>
      <w:r w:rsidR="006824A7">
        <w:rPr>
          <w:rFonts w:ascii="Times New Roman" w:hAnsi="Times New Roman" w:cs="Times New Roman"/>
          <w:sz w:val="20"/>
          <w:szCs w:val="20"/>
        </w:rPr>
        <w:t>reused but with different interpretation</w:t>
      </w:r>
      <w:r w:rsidR="00675479" w:rsidRPr="00B907B6">
        <w:rPr>
          <w:rFonts w:ascii="Times New Roman" w:hAnsi="Times New Roman" w:cs="Times New Roman"/>
          <w:sz w:val="20"/>
          <w:szCs w:val="20"/>
        </w:rPr>
        <w:t>:</w:t>
      </w:r>
    </w:p>
    <w:p w14:paraId="334F81CD" w14:textId="4DCD05F4" w:rsidR="00675479" w:rsidRPr="00B907B6" w:rsidRDefault="00675479" w:rsidP="00B907B6">
      <w:pPr>
        <w:pStyle w:val="a3"/>
        <w:numPr>
          <w:ilvl w:val="0"/>
          <w:numId w:val="45"/>
        </w:numPr>
        <w:snapToGrid w:val="0"/>
        <w:spacing w:line="276" w:lineRule="auto"/>
        <w:ind w:leftChars="0"/>
        <w:rPr>
          <w:rFonts w:ascii="Times New Roman" w:hAnsi="Times New Roman" w:cs="Times New Roman"/>
          <w:color w:val="000000" w:themeColor="text1"/>
          <w:sz w:val="20"/>
          <w:szCs w:val="20"/>
        </w:rPr>
      </w:pPr>
      <w:r w:rsidRPr="00B907B6">
        <w:rPr>
          <w:rFonts w:ascii="Times New Roman" w:hAnsi="Times New Roman" w:cs="Times New Roman"/>
          <w:color w:val="000000" w:themeColor="text1"/>
          <w:sz w:val="20"/>
          <w:szCs w:val="20"/>
        </w:rPr>
        <w:t>Re</w:t>
      </w:r>
      <w:r w:rsidR="00887050" w:rsidRPr="00B907B6">
        <w:rPr>
          <w:rFonts w:ascii="Times New Roman" w:hAnsi="Times New Roman" w:cs="Times New Roman"/>
          <w:color w:val="000000" w:themeColor="text1"/>
          <w:sz w:val="20"/>
          <w:szCs w:val="20"/>
        </w:rPr>
        <w:t>-</w:t>
      </w:r>
      <w:r w:rsidRPr="00B907B6">
        <w:rPr>
          <w:rFonts w:ascii="Times New Roman" w:hAnsi="Times New Roman" w:cs="Times New Roman"/>
          <w:color w:val="000000" w:themeColor="text1"/>
          <w:sz w:val="20"/>
          <w:szCs w:val="20"/>
        </w:rPr>
        <w:t xml:space="preserve">interpret </w:t>
      </w:r>
      <w:r w:rsidRPr="00B907B6">
        <w:rPr>
          <w:rFonts w:ascii="Times New Roman" w:hAnsi="Times New Roman" w:cs="Times New Roman"/>
          <w:b/>
          <w:color w:val="000000" w:themeColor="text1"/>
          <w:sz w:val="20"/>
          <w:szCs w:val="20"/>
        </w:rPr>
        <w:t xml:space="preserve">starting PRB </w:t>
      </w:r>
      <w:r w:rsidR="00596B82" w:rsidRPr="00B907B6">
        <w:rPr>
          <w:rFonts w:ascii="Times New Roman" w:hAnsi="Times New Roman" w:cs="Times New Roman"/>
          <w:b/>
          <w:color w:val="000000" w:themeColor="text1"/>
          <w:sz w:val="20"/>
          <w:szCs w:val="20"/>
        </w:rPr>
        <w:t>index</w:t>
      </w:r>
      <w:r w:rsidR="00887050" w:rsidRPr="00B907B6">
        <w:rPr>
          <w:rFonts w:ascii="Times New Roman" w:hAnsi="Times New Roman" w:cs="Times New Roman"/>
          <w:b/>
          <w:color w:val="000000" w:themeColor="text1"/>
          <w:sz w:val="20"/>
          <w:szCs w:val="20"/>
        </w:rPr>
        <w:t xml:space="preserve"> (</w:t>
      </w:r>
      <w:r w:rsidR="00887050" w:rsidRPr="00B907B6">
        <w:rPr>
          <w:rFonts w:ascii="Times New Roman" w:hAnsi="Times New Roman" w:cs="Times New Roman"/>
          <w:b/>
          <w:i/>
          <w:color w:val="000000" w:themeColor="text1"/>
          <w:sz w:val="20"/>
          <w:szCs w:val="20"/>
        </w:rPr>
        <w:t>startingPRB</w:t>
      </w:r>
      <w:r w:rsidR="00887050" w:rsidRPr="00B907B6">
        <w:rPr>
          <w:rFonts w:ascii="Times New Roman" w:hAnsi="Times New Roman" w:cs="Times New Roman"/>
          <w:b/>
          <w:color w:val="000000" w:themeColor="text1"/>
          <w:sz w:val="20"/>
          <w:szCs w:val="20"/>
        </w:rPr>
        <w:t>)</w:t>
      </w:r>
      <w:r w:rsidRPr="00B907B6">
        <w:rPr>
          <w:rFonts w:ascii="Times New Roman" w:hAnsi="Times New Roman" w:cs="Times New Roman"/>
          <w:color w:val="000000" w:themeColor="text1"/>
          <w:sz w:val="20"/>
          <w:szCs w:val="20"/>
        </w:rPr>
        <w:t xml:space="preserve"> </w:t>
      </w:r>
      <w:r w:rsidR="00302F37">
        <w:rPr>
          <w:rFonts w:ascii="Times New Roman" w:hAnsi="Times New Roman" w:cs="Times New Roman"/>
          <w:color w:val="000000" w:themeColor="text1"/>
          <w:sz w:val="20"/>
          <w:szCs w:val="20"/>
        </w:rPr>
        <w:t>configured in a</w:t>
      </w:r>
      <w:r w:rsidRPr="00B907B6">
        <w:rPr>
          <w:rFonts w:ascii="Times New Roman" w:hAnsi="Times New Roman" w:cs="Times New Roman"/>
          <w:color w:val="000000" w:themeColor="text1"/>
          <w:sz w:val="20"/>
          <w:szCs w:val="20"/>
        </w:rPr>
        <w:t xml:space="preserve"> PUCCH resource </w:t>
      </w:r>
      <w:r w:rsidR="00302F37">
        <w:rPr>
          <w:rFonts w:ascii="Times New Roman" w:hAnsi="Times New Roman" w:cs="Times New Roman"/>
          <w:color w:val="000000" w:themeColor="text1"/>
          <w:sz w:val="20"/>
          <w:szCs w:val="20"/>
        </w:rPr>
        <w:t xml:space="preserve">configuration </w:t>
      </w:r>
      <w:r w:rsidRPr="00B907B6">
        <w:rPr>
          <w:rFonts w:ascii="Times New Roman" w:hAnsi="Times New Roman" w:cs="Times New Roman"/>
          <w:color w:val="000000" w:themeColor="text1"/>
          <w:sz w:val="20"/>
          <w:szCs w:val="20"/>
        </w:rPr>
        <w:t xml:space="preserve">as </w:t>
      </w:r>
      <w:r w:rsidRPr="00B907B6">
        <w:rPr>
          <w:rFonts w:ascii="Times New Roman" w:hAnsi="Times New Roman" w:cs="Times New Roman"/>
          <w:b/>
          <w:color w:val="000000" w:themeColor="text1"/>
          <w:sz w:val="20"/>
          <w:szCs w:val="20"/>
        </w:rPr>
        <w:t xml:space="preserve">starting interlace </w:t>
      </w:r>
      <w:r w:rsidR="00596B82" w:rsidRPr="00B907B6">
        <w:rPr>
          <w:rFonts w:ascii="Times New Roman" w:hAnsi="Times New Roman" w:cs="Times New Roman"/>
          <w:b/>
          <w:color w:val="000000" w:themeColor="text1"/>
          <w:sz w:val="20"/>
          <w:szCs w:val="20"/>
        </w:rPr>
        <w:t>index</w:t>
      </w:r>
    </w:p>
    <w:p w14:paraId="0C33735C" w14:textId="331EE108" w:rsidR="00675479" w:rsidRPr="00B907B6" w:rsidRDefault="00675479" w:rsidP="00B907B6">
      <w:pPr>
        <w:pStyle w:val="a3"/>
        <w:numPr>
          <w:ilvl w:val="0"/>
          <w:numId w:val="45"/>
        </w:numPr>
        <w:snapToGrid w:val="0"/>
        <w:spacing w:after="240" w:line="276" w:lineRule="auto"/>
        <w:ind w:leftChars="0"/>
        <w:rPr>
          <w:rFonts w:ascii="Times New Roman" w:hAnsi="Times New Roman" w:cs="Times New Roman"/>
          <w:color w:val="000000" w:themeColor="text1"/>
          <w:sz w:val="20"/>
          <w:szCs w:val="20"/>
        </w:rPr>
      </w:pPr>
      <w:r w:rsidRPr="00B907B6">
        <w:rPr>
          <w:rFonts w:ascii="Times New Roman" w:hAnsi="Times New Roman" w:cs="Times New Roman"/>
          <w:color w:val="000000" w:themeColor="text1"/>
          <w:sz w:val="20"/>
          <w:szCs w:val="20"/>
        </w:rPr>
        <w:t>Re</w:t>
      </w:r>
      <w:r w:rsidR="00887050" w:rsidRPr="00B907B6">
        <w:rPr>
          <w:rFonts w:ascii="Times New Roman" w:hAnsi="Times New Roman" w:cs="Times New Roman"/>
          <w:color w:val="000000" w:themeColor="text1"/>
          <w:sz w:val="20"/>
          <w:szCs w:val="20"/>
        </w:rPr>
        <w:t>-</w:t>
      </w:r>
      <w:r w:rsidRPr="00B907B6">
        <w:rPr>
          <w:rFonts w:ascii="Times New Roman" w:hAnsi="Times New Roman" w:cs="Times New Roman"/>
          <w:color w:val="000000" w:themeColor="text1"/>
          <w:sz w:val="20"/>
          <w:szCs w:val="20"/>
        </w:rPr>
        <w:t xml:space="preserve">interpret </w:t>
      </w:r>
      <w:r w:rsidRPr="00B907B6">
        <w:rPr>
          <w:rFonts w:ascii="Times New Roman" w:hAnsi="Times New Roman" w:cs="Times New Roman"/>
          <w:b/>
          <w:color w:val="000000" w:themeColor="text1"/>
          <w:sz w:val="20"/>
          <w:szCs w:val="20"/>
        </w:rPr>
        <w:t xml:space="preserve">number of contiguous </w:t>
      </w:r>
      <w:r w:rsidR="003D2D57" w:rsidRPr="003D2D57">
        <w:rPr>
          <w:rFonts w:ascii="Times New Roman" w:hAnsi="Times New Roman" w:cs="Times New Roman"/>
          <w:b/>
          <w:sz w:val="20"/>
          <w:szCs w:val="20"/>
        </w:rPr>
        <w:t>allocated</w:t>
      </w:r>
      <w:r w:rsidR="003D2D57" w:rsidRPr="00B52253">
        <w:rPr>
          <w:rFonts w:ascii="Times New Roman" w:hAnsi="Times New Roman" w:cs="Times New Roman"/>
          <w:sz w:val="20"/>
          <w:szCs w:val="20"/>
        </w:rPr>
        <w:t xml:space="preserve"> </w:t>
      </w:r>
      <w:r w:rsidRPr="00B907B6">
        <w:rPr>
          <w:rFonts w:ascii="Times New Roman" w:hAnsi="Times New Roman" w:cs="Times New Roman"/>
          <w:b/>
          <w:color w:val="000000" w:themeColor="text1"/>
          <w:sz w:val="20"/>
          <w:szCs w:val="20"/>
        </w:rPr>
        <w:t>PRBs</w:t>
      </w:r>
      <w:r w:rsidR="00887050" w:rsidRPr="00B907B6">
        <w:rPr>
          <w:rFonts w:ascii="Times New Roman" w:hAnsi="Times New Roman" w:cs="Times New Roman"/>
          <w:b/>
          <w:color w:val="000000" w:themeColor="text1"/>
          <w:sz w:val="20"/>
          <w:szCs w:val="20"/>
        </w:rPr>
        <w:t xml:space="preserve"> (</w:t>
      </w:r>
      <w:r w:rsidR="00887050" w:rsidRPr="00B907B6">
        <w:rPr>
          <w:rFonts w:ascii="Times New Roman" w:hAnsi="Times New Roman" w:cs="Times New Roman"/>
          <w:b/>
          <w:i/>
          <w:color w:val="000000" w:themeColor="text1"/>
          <w:sz w:val="20"/>
          <w:szCs w:val="20"/>
        </w:rPr>
        <w:t>nrofPRBs</w:t>
      </w:r>
      <w:r w:rsidR="00887050" w:rsidRPr="00B907B6">
        <w:rPr>
          <w:rFonts w:ascii="Times New Roman" w:hAnsi="Times New Roman" w:cs="Times New Roman"/>
          <w:b/>
          <w:color w:val="000000" w:themeColor="text1"/>
          <w:sz w:val="20"/>
          <w:szCs w:val="20"/>
        </w:rPr>
        <w:t>)</w:t>
      </w:r>
      <w:r w:rsidRPr="00B907B6">
        <w:rPr>
          <w:rFonts w:ascii="Times New Roman" w:hAnsi="Times New Roman" w:cs="Times New Roman"/>
          <w:b/>
          <w:color w:val="000000" w:themeColor="text1"/>
          <w:sz w:val="20"/>
          <w:szCs w:val="20"/>
        </w:rPr>
        <w:t xml:space="preserve"> </w:t>
      </w:r>
      <w:r w:rsidRPr="00B907B6">
        <w:rPr>
          <w:rFonts w:ascii="Times New Roman" w:hAnsi="Times New Roman" w:cs="Times New Roman"/>
          <w:color w:val="000000" w:themeColor="text1"/>
          <w:sz w:val="20"/>
          <w:szCs w:val="20"/>
        </w:rPr>
        <w:t xml:space="preserve">configured </w:t>
      </w:r>
      <w:r w:rsidR="00302F37">
        <w:rPr>
          <w:rFonts w:ascii="Times New Roman" w:hAnsi="Times New Roman" w:cs="Times New Roman"/>
          <w:color w:val="000000" w:themeColor="text1"/>
          <w:sz w:val="20"/>
          <w:szCs w:val="20"/>
        </w:rPr>
        <w:t>in a</w:t>
      </w:r>
      <w:r w:rsidRPr="00B907B6">
        <w:rPr>
          <w:rFonts w:ascii="Times New Roman" w:hAnsi="Times New Roman" w:cs="Times New Roman"/>
          <w:color w:val="000000" w:themeColor="text1"/>
          <w:sz w:val="20"/>
          <w:szCs w:val="20"/>
        </w:rPr>
        <w:t xml:space="preserve"> PUCCH format </w:t>
      </w:r>
      <w:r w:rsidR="00302F37">
        <w:rPr>
          <w:rFonts w:ascii="Times New Roman" w:hAnsi="Times New Roman" w:cs="Times New Roman"/>
          <w:color w:val="000000" w:themeColor="text1"/>
          <w:sz w:val="20"/>
          <w:szCs w:val="20"/>
        </w:rPr>
        <w:t xml:space="preserve">configuration </w:t>
      </w:r>
      <w:r w:rsidRPr="00B907B6">
        <w:rPr>
          <w:rFonts w:ascii="Times New Roman" w:hAnsi="Times New Roman" w:cs="Times New Roman"/>
          <w:color w:val="000000" w:themeColor="text1"/>
          <w:sz w:val="20"/>
          <w:szCs w:val="20"/>
        </w:rPr>
        <w:t xml:space="preserve">(PF2 and PF3) as </w:t>
      </w:r>
      <w:r w:rsidRPr="00B907B6">
        <w:rPr>
          <w:rFonts w:ascii="Times New Roman" w:hAnsi="Times New Roman" w:cs="Times New Roman"/>
          <w:b/>
          <w:color w:val="000000" w:themeColor="text1"/>
          <w:sz w:val="20"/>
          <w:szCs w:val="20"/>
        </w:rPr>
        <w:t xml:space="preserve">number of contiguous </w:t>
      </w:r>
      <w:r w:rsidR="003D2D57" w:rsidRPr="003D2D57">
        <w:rPr>
          <w:rFonts w:ascii="Times New Roman" w:hAnsi="Times New Roman" w:cs="Times New Roman"/>
          <w:b/>
          <w:sz w:val="20"/>
          <w:szCs w:val="20"/>
        </w:rPr>
        <w:t>allocated</w:t>
      </w:r>
      <w:r w:rsidR="003D2D57" w:rsidRPr="00B52253">
        <w:rPr>
          <w:rFonts w:ascii="Times New Roman" w:hAnsi="Times New Roman" w:cs="Times New Roman"/>
          <w:sz w:val="20"/>
          <w:szCs w:val="20"/>
        </w:rPr>
        <w:t xml:space="preserve"> </w:t>
      </w:r>
      <w:r w:rsidRPr="00B907B6">
        <w:rPr>
          <w:rFonts w:ascii="Times New Roman" w:hAnsi="Times New Roman" w:cs="Times New Roman"/>
          <w:b/>
          <w:color w:val="000000" w:themeColor="text1"/>
          <w:sz w:val="20"/>
          <w:szCs w:val="20"/>
        </w:rPr>
        <w:t>interlaces</w:t>
      </w:r>
    </w:p>
    <w:p w14:paraId="5F685666" w14:textId="63E63D4B" w:rsidR="00F12324" w:rsidRDefault="001A5563" w:rsidP="002274BB">
      <w:pPr>
        <w:snapToGrid w:val="0"/>
        <w:spacing w:after="240"/>
        <w:jc w:val="both"/>
        <w:rPr>
          <w:rFonts w:ascii="Times New Roman" w:hAnsi="Times New Roman" w:cs="Times New Roman"/>
          <w:sz w:val="20"/>
          <w:szCs w:val="20"/>
        </w:rPr>
      </w:pPr>
      <w:r w:rsidRPr="00B907B6">
        <w:rPr>
          <w:rFonts w:ascii="Times New Roman" w:hAnsi="Times New Roman" w:cs="Times New Roman"/>
          <w:sz w:val="20"/>
          <w:szCs w:val="20"/>
        </w:rPr>
        <w:t xml:space="preserve">For </w:t>
      </w:r>
      <w:r w:rsidR="00596B82" w:rsidRPr="00B907B6">
        <w:rPr>
          <w:rFonts w:ascii="Times New Roman" w:hAnsi="Times New Roman" w:cs="Times New Roman"/>
          <w:sz w:val="20"/>
          <w:szCs w:val="20"/>
          <w:lang w:eastAsia="x-none"/>
        </w:rPr>
        <w:t>a</w:t>
      </w:r>
      <w:r w:rsidR="007A29E5">
        <w:rPr>
          <w:rFonts w:ascii="Times New Roman" w:hAnsi="Times New Roman" w:cs="Times New Roman"/>
          <w:sz w:val="20"/>
          <w:szCs w:val="20"/>
        </w:rPr>
        <w:t xml:space="preserve"> </w:t>
      </w:r>
      <w:r w:rsidRPr="00B907B6">
        <w:rPr>
          <w:rFonts w:ascii="Times New Roman" w:hAnsi="Times New Roman" w:cs="Times New Roman"/>
          <w:sz w:val="20"/>
          <w:szCs w:val="20"/>
        </w:rPr>
        <w:t>carrier</w:t>
      </w:r>
      <w:r w:rsidR="007A29E5">
        <w:rPr>
          <w:rFonts w:ascii="Times New Roman" w:hAnsi="Times New Roman" w:cs="Times New Roman"/>
          <w:sz w:val="20"/>
          <w:szCs w:val="20"/>
        </w:rPr>
        <w:t xml:space="preserve"> (or a BWP)</w:t>
      </w:r>
      <w:r w:rsidRPr="00B907B6">
        <w:rPr>
          <w:rFonts w:ascii="Times New Roman" w:hAnsi="Times New Roman" w:cs="Times New Roman"/>
          <w:sz w:val="20"/>
          <w:szCs w:val="20"/>
        </w:rPr>
        <w:t xml:space="preserve"> configured with more than</w:t>
      </w:r>
      <w:r w:rsidR="00596B82" w:rsidRPr="00B907B6">
        <w:rPr>
          <w:rFonts w:ascii="Times New Roman" w:hAnsi="Times New Roman" w:cs="Times New Roman"/>
          <w:sz w:val="20"/>
          <w:szCs w:val="20"/>
        </w:rPr>
        <w:t xml:space="preserve"> one</w:t>
      </w:r>
      <w:r w:rsidRPr="00B907B6">
        <w:rPr>
          <w:rFonts w:ascii="Times New Roman" w:hAnsi="Times New Roman" w:cs="Times New Roman"/>
          <w:sz w:val="20"/>
          <w:szCs w:val="20"/>
        </w:rPr>
        <w:t xml:space="preserve"> LBT subbands, </w:t>
      </w:r>
      <w:r w:rsidR="004E18C2" w:rsidRPr="00B907B6">
        <w:rPr>
          <w:rFonts w:ascii="Times New Roman" w:hAnsi="Times New Roman" w:cs="Times New Roman"/>
          <w:sz w:val="20"/>
          <w:szCs w:val="20"/>
        </w:rPr>
        <w:t>a</w:t>
      </w:r>
      <w:r w:rsidR="00596B82" w:rsidRPr="00B907B6">
        <w:rPr>
          <w:rFonts w:ascii="Times New Roman" w:hAnsi="Times New Roman" w:cs="Times New Roman"/>
          <w:sz w:val="20"/>
          <w:szCs w:val="20"/>
        </w:rPr>
        <w:t>n additional</w:t>
      </w:r>
      <w:r w:rsidR="004E18C2" w:rsidRPr="00B907B6">
        <w:rPr>
          <w:rFonts w:ascii="Times New Roman" w:hAnsi="Times New Roman" w:cs="Times New Roman"/>
          <w:sz w:val="20"/>
          <w:szCs w:val="20"/>
        </w:rPr>
        <w:t xml:space="preserve"> field</w:t>
      </w:r>
      <w:r w:rsidR="00E058F8">
        <w:rPr>
          <w:rFonts w:ascii="Times New Roman" w:hAnsi="Times New Roman" w:cs="Times New Roman"/>
          <w:sz w:val="20"/>
          <w:szCs w:val="20"/>
        </w:rPr>
        <w:t xml:space="preserve"> (e.g., </w:t>
      </w:r>
      <w:r w:rsidR="00E058F8" w:rsidRPr="00E058F8">
        <w:rPr>
          <w:rFonts w:ascii="Times New Roman" w:hAnsi="Times New Roman" w:cs="Times New Roman"/>
          <w:i/>
          <w:sz w:val="20"/>
          <w:szCs w:val="20"/>
        </w:rPr>
        <w:t>subbandAllocation</w:t>
      </w:r>
      <w:r w:rsidR="00E058F8">
        <w:rPr>
          <w:rFonts w:ascii="Times New Roman" w:hAnsi="Times New Roman" w:cs="Times New Roman"/>
          <w:sz w:val="20"/>
          <w:szCs w:val="20"/>
        </w:rPr>
        <w:t>)</w:t>
      </w:r>
      <w:r w:rsidR="004E18C2" w:rsidRPr="00B907B6">
        <w:rPr>
          <w:rFonts w:ascii="Times New Roman" w:hAnsi="Times New Roman" w:cs="Times New Roman"/>
          <w:sz w:val="20"/>
          <w:szCs w:val="20"/>
        </w:rPr>
        <w:t xml:space="preserve"> </w:t>
      </w:r>
      <w:r w:rsidR="00596B82" w:rsidRPr="00B907B6">
        <w:rPr>
          <w:rFonts w:ascii="Times New Roman" w:hAnsi="Times New Roman" w:cs="Times New Roman" w:hint="eastAsia"/>
          <w:sz w:val="20"/>
          <w:szCs w:val="20"/>
        </w:rPr>
        <w:t xml:space="preserve">should </w:t>
      </w:r>
      <w:r w:rsidR="00596B82" w:rsidRPr="00B907B6">
        <w:rPr>
          <w:rFonts w:ascii="Times New Roman" w:hAnsi="Times New Roman" w:cs="Times New Roman" w:hint="eastAsia"/>
          <w:sz w:val="20"/>
          <w:szCs w:val="20"/>
        </w:rPr>
        <w:lastRenderedPageBreak/>
        <w:t xml:space="preserve">be </w:t>
      </w:r>
      <w:r w:rsidR="00596B82" w:rsidRPr="00B907B6">
        <w:rPr>
          <w:rFonts w:ascii="Times New Roman" w:hAnsi="Times New Roman" w:cs="Times New Roman"/>
          <w:sz w:val="20"/>
          <w:szCs w:val="20"/>
        </w:rPr>
        <w:t>included</w:t>
      </w:r>
      <w:r w:rsidR="00596B82" w:rsidRPr="00B907B6">
        <w:rPr>
          <w:rFonts w:ascii="Times New Roman" w:hAnsi="Times New Roman" w:cs="Times New Roman" w:hint="eastAsia"/>
          <w:sz w:val="20"/>
          <w:szCs w:val="20"/>
        </w:rPr>
        <w:t xml:space="preserve"> in </w:t>
      </w:r>
      <w:r w:rsidR="002109A3">
        <w:rPr>
          <w:rFonts w:ascii="Times New Roman" w:hAnsi="Times New Roman" w:cs="Times New Roman"/>
          <w:sz w:val="20"/>
          <w:szCs w:val="20"/>
        </w:rPr>
        <w:t xml:space="preserve">a </w:t>
      </w:r>
      <w:r w:rsidR="00596B82" w:rsidRPr="00B907B6">
        <w:rPr>
          <w:rFonts w:ascii="Times New Roman" w:hAnsi="Times New Roman" w:cs="Times New Roman"/>
          <w:sz w:val="20"/>
          <w:szCs w:val="20"/>
        </w:rPr>
        <w:t>PUCCH resource configuration</w:t>
      </w:r>
      <w:r w:rsidR="002109A3">
        <w:rPr>
          <w:rFonts w:ascii="Times New Roman" w:hAnsi="Times New Roman" w:cs="Times New Roman"/>
          <w:sz w:val="20"/>
          <w:szCs w:val="20"/>
        </w:rPr>
        <w:t xml:space="preserve"> </w:t>
      </w:r>
      <w:r w:rsidR="002109A3" w:rsidRPr="00B907B6">
        <w:rPr>
          <w:rFonts w:ascii="Times New Roman" w:hAnsi="Times New Roman" w:cs="Times New Roman"/>
          <w:sz w:val="20"/>
          <w:szCs w:val="20"/>
        </w:rPr>
        <w:t xml:space="preserve">for </w:t>
      </w:r>
      <w:r w:rsidR="002109A3">
        <w:rPr>
          <w:rFonts w:ascii="Times New Roman" w:hAnsi="Times New Roman" w:cs="Times New Roman"/>
          <w:sz w:val="20"/>
          <w:szCs w:val="20"/>
        </w:rPr>
        <w:t xml:space="preserve">allocating </w:t>
      </w:r>
      <w:r w:rsidR="002109A3" w:rsidRPr="00B907B6">
        <w:rPr>
          <w:rFonts w:ascii="Times New Roman" w:hAnsi="Times New Roman" w:cs="Times New Roman"/>
          <w:sz w:val="20"/>
          <w:szCs w:val="20"/>
        </w:rPr>
        <w:t>one of the LBT subbands</w:t>
      </w:r>
      <w:r w:rsidR="002109A3">
        <w:rPr>
          <w:rFonts w:ascii="Times New Roman" w:hAnsi="Times New Roman" w:cs="Times New Roman"/>
          <w:sz w:val="20"/>
          <w:szCs w:val="20"/>
        </w:rPr>
        <w:t xml:space="preserve"> for</w:t>
      </w:r>
      <w:r w:rsidR="002109A3" w:rsidRPr="00B907B6">
        <w:rPr>
          <w:rFonts w:ascii="Times New Roman" w:hAnsi="Times New Roman" w:cs="Times New Roman"/>
          <w:sz w:val="20"/>
          <w:szCs w:val="20"/>
        </w:rPr>
        <w:t xml:space="preserve"> </w:t>
      </w:r>
      <w:r w:rsidR="002109A3">
        <w:rPr>
          <w:rFonts w:ascii="Times New Roman" w:hAnsi="Times New Roman" w:cs="Times New Roman"/>
          <w:sz w:val="20"/>
          <w:szCs w:val="20"/>
        </w:rPr>
        <w:t>the</w:t>
      </w:r>
      <w:r w:rsidR="002109A3" w:rsidRPr="00B907B6">
        <w:rPr>
          <w:rFonts w:ascii="Times New Roman" w:hAnsi="Times New Roman" w:cs="Times New Roman"/>
          <w:sz w:val="20"/>
          <w:szCs w:val="20"/>
        </w:rPr>
        <w:t xml:space="preserve"> PUCCH resource</w:t>
      </w:r>
      <w:r w:rsidR="00596B82" w:rsidRPr="00B907B6">
        <w:rPr>
          <w:rFonts w:ascii="Times New Roman" w:hAnsi="Times New Roman" w:cs="Times New Roman"/>
          <w:sz w:val="20"/>
          <w:szCs w:val="20"/>
        </w:rPr>
        <w:t>.</w:t>
      </w:r>
      <w:r w:rsidR="00B52253">
        <w:rPr>
          <w:rFonts w:ascii="Times New Roman" w:hAnsi="Times New Roman" w:cs="Times New Roman"/>
          <w:sz w:val="20"/>
          <w:szCs w:val="20"/>
        </w:rPr>
        <w:t xml:space="preserve"> </w:t>
      </w:r>
      <w:r w:rsidR="00B52253" w:rsidRPr="00B52253">
        <w:rPr>
          <w:rFonts w:ascii="Times New Roman" w:hAnsi="Times New Roman" w:cs="Times New Roman"/>
          <w:sz w:val="20"/>
          <w:szCs w:val="20"/>
        </w:rPr>
        <w:t xml:space="preserve">Then, the UE can determine actual accolated PRBs for the </w:t>
      </w:r>
      <w:r w:rsidR="007A29E5" w:rsidRPr="00B907B6">
        <w:rPr>
          <w:rFonts w:ascii="Times New Roman" w:hAnsi="Times New Roman" w:cs="Times New Roman"/>
          <w:sz w:val="20"/>
          <w:szCs w:val="20"/>
        </w:rPr>
        <w:t xml:space="preserve">PUCCH </w:t>
      </w:r>
      <w:r w:rsidR="002109A3" w:rsidRPr="00B907B6">
        <w:rPr>
          <w:rFonts w:ascii="Times New Roman" w:hAnsi="Times New Roman" w:cs="Times New Roman"/>
          <w:sz w:val="20"/>
          <w:szCs w:val="20"/>
        </w:rPr>
        <w:t>resource</w:t>
      </w:r>
      <w:r w:rsidR="002109A3" w:rsidRPr="00B52253">
        <w:rPr>
          <w:rFonts w:ascii="Times New Roman" w:hAnsi="Times New Roman" w:cs="Times New Roman"/>
          <w:sz w:val="20"/>
          <w:szCs w:val="20"/>
        </w:rPr>
        <w:t xml:space="preserve"> </w:t>
      </w:r>
      <w:r w:rsidR="00B52253" w:rsidRPr="00B52253">
        <w:rPr>
          <w:rFonts w:ascii="Times New Roman" w:hAnsi="Times New Roman" w:cs="Times New Roman"/>
          <w:sz w:val="20"/>
          <w:szCs w:val="20"/>
        </w:rPr>
        <w:t xml:space="preserve">as an intersection of the allocated interlaces and the allocated </w:t>
      </w:r>
      <w:r w:rsidR="003D2D57" w:rsidRPr="00B907B6">
        <w:rPr>
          <w:rFonts w:ascii="Times New Roman" w:hAnsi="Times New Roman" w:cs="Times New Roman"/>
          <w:sz w:val="20"/>
          <w:szCs w:val="20"/>
        </w:rPr>
        <w:t xml:space="preserve">LBT </w:t>
      </w:r>
      <w:r w:rsidR="007A29E5">
        <w:rPr>
          <w:rFonts w:ascii="Times New Roman" w:hAnsi="Times New Roman" w:cs="Times New Roman"/>
          <w:sz w:val="20"/>
          <w:szCs w:val="20"/>
        </w:rPr>
        <w:t>subband</w:t>
      </w:r>
      <w:r w:rsidR="003D2D57">
        <w:rPr>
          <w:rFonts w:ascii="Times New Roman" w:hAnsi="Times New Roman" w:cs="Times New Roman"/>
          <w:sz w:val="20"/>
          <w:szCs w:val="20"/>
        </w:rPr>
        <w:t>, as shown in the example in Figure 3.</w:t>
      </w:r>
    </w:p>
    <w:p w14:paraId="048CDDBA" w14:textId="389027FB" w:rsidR="008C375C" w:rsidRDefault="00F76BD2" w:rsidP="00F76BD2">
      <w:pPr>
        <w:snapToGrid w:val="0"/>
        <w:jc w:val="center"/>
        <w:rPr>
          <w:rFonts w:ascii="Times New Roman" w:hAnsi="Times New Roman" w:cs="Times New Roman"/>
          <w:sz w:val="20"/>
          <w:szCs w:val="20"/>
        </w:rPr>
      </w:pPr>
      <w:r>
        <w:object w:dxaOrig="18293" w:dyaOrig="6285" w14:anchorId="2DC2E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55pt;height:163.4pt" o:ole="">
            <v:imagedata r:id="rId13" o:title=""/>
          </v:shape>
          <o:OLEObject Type="Embed" ProgID="Visio.Drawing.15" ShapeID="_x0000_i1026" DrawAspect="Content" ObjectID="_1627476856" r:id="rId14"/>
        </w:object>
      </w:r>
    </w:p>
    <w:p w14:paraId="1B4E9E54" w14:textId="0CB65DFF" w:rsidR="008C375C" w:rsidRPr="00B907B6" w:rsidRDefault="008C375C" w:rsidP="008C375C">
      <w:pPr>
        <w:snapToGrid w:val="0"/>
        <w:spacing w:afterLines="50" w:after="180"/>
        <w:contextualSpacing/>
        <w:jc w:val="center"/>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Figure </w:t>
      </w:r>
      <w:r>
        <w:rPr>
          <w:rFonts w:ascii="Times New Roman" w:hAnsi="Times New Roman" w:cs="Times New Roman"/>
          <w:b/>
          <w:color w:val="000000" w:themeColor="text1"/>
          <w:sz w:val="20"/>
          <w:szCs w:val="20"/>
        </w:rPr>
        <w:t>3</w:t>
      </w:r>
      <w:r w:rsidRPr="00B907B6">
        <w:rPr>
          <w:rFonts w:ascii="Times New Roman" w:hAnsi="Times New Roman" w:cs="Times New Roman"/>
          <w:b/>
          <w:color w:val="000000" w:themeColor="text1"/>
          <w:sz w:val="20"/>
          <w:szCs w:val="20"/>
        </w:rPr>
        <w:t xml:space="preserve">. Example of </w:t>
      </w:r>
      <w:r>
        <w:rPr>
          <w:rFonts w:ascii="Times New Roman" w:hAnsi="Times New Roman" w:cs="Times New Roman"/>
          <w:b/>
          <w:color w:val="000000" w:themeColor="text1"/>
          <w:sz w:val="20"/>
          <w:szCs w:val="20"/>
        </w:rPr>
        <w:t xml:space="preserve">frequency domain resource allocation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p>
    <w:p w14:paraId="2B0D6088" w14:textId="77777777" w:rsidR="008C375C" w:rsidRDefault="008C375C" w:rsidP="007A29E5">
      <w:pPr>
        <w:snapToGrid w:val="0"/>
        <w:spacing w:before="240"/>
        <w:rPr>
          <w:rFonts w:ascii="Times New Roman" w:hAnsi="Times New Roman" w:cs="Times New Roman"/>
          <w:b/>
          <w:color w:val="000000" w:themeColor="text1"/>
          <w:sz w:val="20"/>
          <w:szCs w:val="20"/>
        </w:rPr>
      </w:pPr>
    </w:p>
    <w:p w14:paraId="7AC4FD23" w14:textId="5A12AD83" w:rsidR="007A29E5" w:rsidRDefault="007A29E5" w:rsidP="007A29E5">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8</w:t>
      </w:r>
      <w:r w:rsidRPr="00B907B6">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Frequency domain resource allocation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 can be configured</w:t>
      </w:r>
      <w:r w:rsidR="003D2D57">
        <w:rPr>
          <w:rFonts w:ascii="Times New Roman" w:hAnsi="Times New Roman" w:cs="Times New Roman"/>
          <w:b/>
          <w:color w:val="000000" w:themeColor="text1"/>
          <w:sz w:val="20"/>
          <w:szCs w:val="20"/>
        </w:rPr>
        <w:t>/determined</w:t>
      </w:r>
      <w:r>
        <w:rPr>
          <w:rFonts w:ascii="Times New Roman" w:hAnsi="Times New Roman" w:cs="Times New Roman"/>
          <w:b/>
          <w:color w:val="000000" w:themeColor="text1"/>
          <w:sz w:val="20"/>
          <w:szCs w:val="20"/>
        </w:rPr>
        <w:t xml:space="preserve"> </w:t>
      </w:r>
      <w:r w:rsidRPr="007A29E5">
        <w:rPr>
          <w:rFonts w:ascii="Times New Roman" w:hAnsi="Times New Roman" w:cs="Times New Roman"/>
          <w:b/>
          <w:color w:val="000000" w:themeColor="text1"/>
          <w:sz w:val="20"/>
          <w:szCs w:val="20"/>
        </w:rPr>
        <w:t xml:space="preserve">as an intersection of the two </w:t>
      </w:r>
      <w:r>
        <w:rPr>
          <w:rFonts w:ascii="Times New Roman" w:hAnsi="Times New Roman" w:cs="Times New Roman"/>
          <w:b/>
          <w:color w:val="000000" w:themeColor="text1"/>
          <w:sz w:val="20"/>
          <w:szCs w:val="20"/>
        </w:rPr>
        <w:t xml:space="preserve">following </w:t>
      </w:r>
      <w:r w:rsidRPr="007A29E5">
        <w:rPr>
          <w:rFonts w:ascii="Times New Roman" w:hAnsi="Times New Roman" w:cs="Times New Roman"/>
          <w:b/>
          <w:color w:val="000000" w:themeColor="text1"/>
          <w:sz w:val="20"/>
          <w:szCs w:val="20"/>
        </w:rPr>
        <w:t>parts</w:t>
      </w:r>
      <w:r>
        <w:rPr>
          <w:rFonts w:ascii="Times New Roman" w:hAnsi="Times New Roman" w:cs="Times New Roman"/>
          <w:b/>
          <w:color w:val="000000" w:themeColor="text1"/>
          <w:sz w:val="20"/>
          <w:szCs w:val="20"/>
        </w:rPr>
        <w:t>:</w:t>
      </w:r>
    </w:p>
    <w:p w14:paraId="5CA0FC77" w14:textId="72DE91EB" w:rsidR="007A29E5" w:rsidRDefault="007A29E5" w:rsidP="007A29E5">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sidRPr="007A29E5">
        <w:rPr>
          <w:rFonts w:ascii="Times New Roman" w:hAnsi="Times New Roman" w:cs="Times New Roman"/>
          <w:b/>
          <w:color w:val="000000" w:themeColor="text1"/>
          <w:sz w:val="20"/>
          <w:szCs w:val="20"/>
        </w:rPr>
        <w:t xml:space="preserve">Allocation of interlaces(s) by re-interpreting </w:t>
      </w:r>
      <w:r w:rsidRPr="00302F37">
        <w:rPr>
          <w:rFonts w:ascii="Times New Roman" w:hAnsi="Times New Roman" w:cs="Times New Roman"/>
          <w:b/>
          <w:i/>
          <w:color w:val="000000" w:themeColor="text1"/>
          <w:sz w:val="20"/>
          <w:szCs w:val="20"/>
        </w:rPr>
        <w:t>startingPRB</w:t>
      </w:r>
      <w:r w:rsidRPr="00302F37">
        <w:rPr>
          <w:rFonts w:ascii="Times New Roman" w:hAnsi="Times New Roman" w:cs="Times New Roman"/>
          <w:b/>
          <w:color w:val="000000" w:themeColor="text1"/>
          <w:sz w:val="20"/>
          <w:szCs w:val="20"/>
        </w:rPr>
        <w:t xml:space="preserve"> </w:t>
      </w:r>
      <w:r w:rsidR="00302F37" w:rsidRPr="00302F37">
        <w:rPr>
          <w:rFonts w:ascii="Times New Roman" w:hAnsi="Times New Roman" w:cs="Times New Roman"/>
          <w:b/>
          <w:color w:val="000000" w:themeColor="text1"/>
          <w:sz w:val="20"/>
          <w:szCs w:val="20"/>
        </w:rPr>
        <w:t xml:space="preserve">in </w:t>
      </w:r>
      <w:r w:rsidR="00302F37" w:rsidRPr="00302F37">
        <w:rPr>
          <w:rFonts w:ascii="Times New Roman" w:hAnsi="Times New Roman" w:cs="Times New Roman" w:hint="eastAsia"/>
          <w:b/>
          <w:color w:val="000000" w:themeColor="text1"/>
          <w:sz w:val="20"/>
          <w:szCs w:val="20"/>
        </w:rPr>
        <w:t>NR Rel-15</w:t>
      </w:r>
      <w:r w:rsidR="00302F37" w:rsidRPr="00302F37">
        <w:rPr>
          <w:rFonts w:ascii="Times New Roman" w:hAnsi="Times New Roman" w:cs="Times New Roman"/>
          <w:b/>
          <w:color w:val="000000" w:themeColor="text1"/>
          <w:sz w:val="20"/>
          <w:szCs w:val="20"/>
        </w:rPr>
        <w:t xml:space="preserve"> PUCCH resource configuration</w:t>
      </w:r>
      <w:r w:rsidR="00302F37" w:rsidRPr="007A29E5">
        <w:rPr>
          <w:rFonts w:ascii="Times New Roman" w:hAnsi="Times New Roman" w:cs="Times New Roman"/>
          <w:b/>
          <w:color w:val="000000" w:themeColor="text1"/>
          <w:sz w:val="20"/>
          <w:szCs w:val="20"/>
        </w:rPr>
        <w:t xml:space="preserve"> </w:t>
      </w:r>
      <w:r w:rsidRPr="007A29E5">
        <w:rPr>
          <w:rFonts w:ascii="Times New Roman" w:hAnsi="Times New Roman" w:cs="Times New Roman"/>
          <w:b/>
          <w:color w:val="000000" w:themeColor="text1"/>
          <w:sz w:val="20"/>
          <w:szCs w:val="20"/>
        </w:rPr>
        <w:t>and</w:t>
      </w:r>
      <w:r w:rsidRPr="00302F37">
        <w:rPr>
          <w:rFonts w:ascii="Times New Roman" w:hAnsi="Times New Roman" w:cs="Times New Roman"/>
          <w:b/>
          <w:color w:val="000000" w:themeColor="text1"/>
          <w:sz w:val="20"/>
          <w:szCs w:val="20"/>
        </w:rPr>
        <w:t xml:space="preserve"> </w:t>
      </w:r>
      <w:r w:rsidRPr="00302F37">
        <w:rPr>
          <w:rFonts w:ascii="Times New Roman" w:hAnsi="Times New Roman" w:cs="Times New Roman"/>
          <w:b/>
          <w:i/>
          <w:color w:val="000000" w:themeColor="text1"/>
          <w:sz w:val="20"/>
          <w:szCs w:val="20"/>
        </w:rPr>
        <w:t>nrofPRBs</w:t>
      </w:r>
      <w:r w:rsidRPr="00302F37">
        <w:rPr>
          <w:rFonts w:ascii="Times New Roman" w:hAnsi="Times New Roman" w:cs="Times New Roman"/>
          <w:b/>
          <w:color w:val="000000" w:themeColor="text1"/>
          <w:sz w:val="20"/>
          <w:szCs w:val="20"/>
        </w:rPr>
        <w:t xml:space="preserve"> </w:t>
      </w:r>
      <w:r w:rsidR="00302F37" w:rsidRPr="00302F37">
        <w:rPr>
          <w:rFonts w:ascii="Times New Roman" w:hAnsi="Times New Roman" w:cs="Times New Roman"/>
          <w:b/>
          <w:color w:val="000000" w:themeColor="text1"/>
          <w:sz w:val="20"/>
          <w:szCs w:val="20"/>
        </w:rPr>
        <w:t xml:space="preserve">in </w:t>
      </w:r>
      <w:r w:rsidR="00302F37" w:rsidRPr="00302F37">
        <w:rPr>
          <w:rFonts w:ascii="Times New Roman" w:hAnsi="Times New Roman" w:cs="Times New Roman" w:hint="eastAsia"/>
          <w:b/>
          <w:color w:val="000000" w:themeColor="text1"/>
          <w:sz w:val="20"/>
          <w:szCs w:val="20"/>
        </w:rPr>
        <w:t>NR Rel-15</w:t>
      </w:r>
      <w:r w:rsidR="00302F37" w:rsidRPr="00302F37">
        <w:rPr>
          <w:rFonts w:ascii="Times New Roman" w:hAnsi="Times New Roman" w:cs="Times New Roman"/>
          <w:b/>
          <w:color w:val="000000" w:themeColor="text1"/>
          <w:sz w:val="20"/>
          <w:szCs w:val="20"/>
        </w:rPr>
        <w:t xml:space="preserve"> PUCCH format configuration</w:t>
      </w:r>
    </w:p>
    <w:p w14:paraId="78F3E09A" w14:textId="62F9EE0B" w:rsidR="007A29E5" w:rsidRPr="007A29E5" w:rsidRDefault="007A29E5" w:rsidP="007A29E5">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Allocation of </w:t>
      </w:r>
      <w:r w:rsidR="003D2D57">
        <w:rPr>
          <w:rFonts w:ascii="Times New Roman" w:hAnsi="Times New Roman" w:cs="Times New Roman"/>
          <w:b/>
          <w:color w:val="000000" w:themeColor="text1"/>
          <w:sz w:val="20"/>
          <w:szCs w:val="20"/>
        </w:rPr>
        <w:t xml:space="preserve">a </w:t>
      </w:r>
      <w:r>
        <w:rPr>
          <w:rFonts w:ascii="Times New Roman" w:hAnsi="Times New Roman" w:cs="Times New Roman" w:hint="eastAsia"/>
          <w:b/>
          <w:color w:val="000000" w:themeColor="text1"/>
          <w:sz w:val="20"/>
          <w:szCs w:val="20"/>
        </w:rPr>
        <w:t>LBT subband</w:t>
      </w:r>
      <w:r w:rsidR="008C375C">
        <w:rPr>
          <w:rFonts w:ascii="Times New Roman" w:hAnsi="Times New Roman" w:cs="Times New Roman"/>
          <w:b/>
          <w:color w:val="000000" w:themeColor="text1"/>
          <w:sz w:val="20"/>
          <w:szCs w:val="20"/>
        </w:rPr>
        <w:t xml:space="preserve"> by introducing a new field in </w:t>
      </w:r>
      <w:r w:rsidR="002109A3">
        <w:rPr>
          <w:rFonts w:ascii="Times New Roman" w:hAnsi="Times New Roman" w:cs="Times New Roman"/>
          <w:b/>
          <w:color w:val="000000" w:themeColor="text1"/>
          <w:sz w:val="20"/>
          <w:szCs w:val="20"/>
        </w:rPr>
        <w:t xml:space="preserve">a </w:t>
      </w:r>
      <w:r w:rsidR="008C375C">
        <w:rPr>
          <w:rFonts w:ascii="Times New Roman" w:hAnsi="Times New Roman" w:cs="Times New Roman"/>
          <w:b/>
          <w:color w:val="000000" w:themeColor="text1"/>
          <w:sz w:val="20"/>
          <w:szCs w:val="20"/>
        </w:rPr>
        <w:t>PUCCH resource configuration</w:t>
      </w:r>
      <w:r w:rsidRPr="007A29E5">
        <w:rPr>
          <w:rFonts w:ascii="Times New Roman" w:hAnsi="Times New Roman" w:cs="Times New Roman"/>
          <w:b/>
          <w:i/>
          <w:color w:val="000000" w:themeColor="text1"/>
          <w:sz w:val="20"/>
          <w:szCs w:val="20"/>
        </w:rPr>
        <w:t xml:space="preserve"> </w:t>
      </w:r>
    </w:p>
    <w:p w14:paraId="3E8EE3D3" w14:textId="77777777" w:rsidR="00F12324" w:rsidRDefault="00F12324" w:rsidP="002274BB">
      <w:pPr>
        <w:snapToGrid w:val="0"/>
        <w:spacing w:after="240"/>
        <w:jc w:val="both"/>
        <w:rPr>
          <w:rFonts w:ascii="Times New Roman" w:hAnsi="Times New Roman" w:cs="Times New Roman"/>
          <w:sz w:val="20"/>
          <w:szCs w:val="20"/>
        </w:rPr>
      </w:pPr>
    </w:p>
    <w:p w14:paraId="5249270C" w14:textId="5106267A" w:rsidR="003D2D57" w:rsidRDefault="008C375C" w:rsidP="00962A2B">
      <w:pPr>
        <w:snapToGrid w:val="0"/>
        <w:spacing w:after="240" w:line="280" w:lineRule="exact"/>
        <w:jc w:val="both"/>
        <w:rPr>
          <w:rFonts w:ascii="Times New Roman" w:hAnsi="Times New Roman" w:cs="Times New Roman"/>
          <w:sz w:val="20"/>
          <w:szCs w:val="20"/>
        </w:rPr>
      </w:pPr>
      <w:r>
        <w:rPr>
          <w:rFonts w:ascii="Times New Roman" w:hAnsi="Times New Roman" w:cs="Times New Roman"/>
          <w:sz w:val="20"/>
          <w:szCs w:val="20"/>
        </w:rPr>
        <w:t>I</w:t>
      </w:r>
      <w:r w:rsidR="00EC7187" w:rsidRPr="00B907B6">
        <w:rPr>
          <w:rFonts w:ascii="Times New Roman" w:hAnsi="Times New Roman" w:cs="Times New Roman"/>
          <w:sz w:val="20"/>
          <w:szCs w:val="20"/>
        </w:rPr>
        <w:t xml:space="preserve">n order to increase the probability for a UCI report as it will be subject to LBT before transmission, we see that providing a set of </w:t>
      </w:r>
      <w:r w:rsidR="007B021F" w:rsidRPr="00B907B6">
        <w:rPr>
          <w:rFonts w:ascii="Times New Roman" w:hAnsi="Times New Roman" w:cs="Times New Roman"/>
          <w:sz w:val="20"/>
          <w:szCs w:val="20"/>
        </w:rPr>
        <w:t>frequency domain candidate resource</w:t>
      </w:r>
      <w:r w:rsidR="007B021F">
        <w:rPr>
          <w:rFonts w:ascii="Times New Roman" w:hAnsi="Times New Roman" w:cs="Times New Roman"/>
          <w:sz w:val="20"/>
          <w:szCs w:val="20"/>
        </w:rPr>
        <w:t xml:space="preserve">s </w:t>
      </w:r>
      <w:r w:rsidR="00EC7187" w:rsidRPr="00B907B6">
        <w:rPr>
          <w:rFonts w:ascii="Times New Roman" w:hAnsi="Times New Roman" w:cs="Times New Roman"/>
          <w:sz w:val="20"/>
          <w:szCs w:val="20"/>
        </w:rPr>
        <w:t xml:space="preserve">distributed in different LBT subbands for the UCI report would be beneficial. The UE </w:t>
      </w:r>
      <w:r w:rsidR="00851A18">
        <w:rPr>
          <w:rFonts w:ascii="Times New Roman" w:hAnsi="Times New Roman" w:cs="Times New Roman"/>
          <w:sz w:val="20"/>
          <w:szCs w:val="20"/>
        </w:rPr>
        <w:t xml:space="preserve">can perform </w:t>
      </w:r>
      <w:r w:rsidR="00EC7187" w:rsidRPr="00B907B6">
        <w:rPr>
          <w:rFonts w:ascii="Times New Roman" w:hAnsi="Times New Roman" w:cs="Times New Roman"/>
          <w:sz w:val="20"/>
          <w:szCs w:val="20"/>
        </w:rPr>
        <w:t xml:space="preserve">LBT for each </w:t>
      </w:r>
      <w:r w:rsidR="007B021F" w:rsidRPr="00B907B6">
        <w:rPr>
          <w:rFonts w:ascii="Times New Roman" w:hAnsi="Times New Roman" w:cs="Times New Roman"/>
          <w:sz w:val="20"/>
          <w:szCs w:val="20"/>
        </w:rPr>
        <w:t>frequency domain candidate resource</w:t>
      </w:r>
      <w:r w:rsidR="007B021F">
        <w:rPr>
          <w:rFonts w:ascii="Times New Roman" w:hAnsi="Times New Roman" w:cs="Times New Roman"/>
          <w:sz w:val="20"/>
          <w:szCs w:val="20"/>
        </w:rPr>
        <w:t xml:space="preserve"> in each LBT subband</w:t>
      </w:r>
      <w:r w:rsidR="00EC7187" w:rsidRPr="00B907B6">
        <w:rPr>
          <w:rFonts w:ascii="Times New Roman" w:hAnsi="Times New Roman" w:cs="Times New Roman"/>
          <w:sz w:val="20"/>
          <w:szCs w:val="20"/>
        </w:rPr>
        <w:t xml:space="preserve">, and selects one available </w:t>
      </w:r>
      <w:r w:rsidR="007B021F" w:rsidRPr="00B907B6">
        <w:rPr>
          <w:rFonts w:ascii="Times New Roman" w:hAnsi="Times New Roman" w:cs="Times New Roman"/>
          <w:sz w:val="20"/>
          <w:szCs w:val="20"/>
        </w:rPr>
        <w:t xml:space="preserve">candidate </w:t>
      </w:r>
      <w:r w:rsidR="007B021F">
        <w:rPr>
          <w:rFonts w:ascii="Times New Roman" w:hAnsi="Times New Roman" w:cs="Times New Roman"/>
          <w:sz w:val="20"/>
          <w:szCs w:val="20"/>
        </w:rPr>
        <w:t>resource</w:t>
      </w:r>
      <w:r w:rsidR="00EC7187" w:rsidRPr="00B907B6">
        <w:rPr>
          <w:rFonts w:ascii="Times New Roman" w:hAnsi="Times New Roman" w:cs="Times New Roman"/>
          <w:sz w:val="20"/>
          <w:szCs w:val="20"/>
        </w:rPr>
        <w:t xml:space="preserve"> to </w:t>
      </w:r>
      <w:r w:rsidR="002109A3">
        <w:rPr>
          <w:rFonts w:ascii="Times New Roman" w:hAnsi="Times New Roman" w:cs="Times New Roman" w:hint="eastAsia"/>
          <w:sz w:val="20"/>
          <w:szCs w:val="20"/>
        </w:rPr>
        <w:t xml:space="preserve">transmit </w:t>
      </w:r>
      <w:r w:rsidR="00EC7187" w:rsidRPr="00B907B6">
        <w:rPr>
          <w:rFonts w:ascii="Times New Roman" w:hAnsi="Times New Roman" w:cs="Times New Roman"/>
          <w:sz w:val="20"/>
          <w:szCs w:val="20"/>
        </w:rPr>
        <w:t>UCI</w:t>
      </w:r>
      <w:r w:rsidR="002109A3">
        <w:rPr>
          <w:rFonts w:ascii="Times New Roman" w:hAnsi="Times New Roman" w:cs="Times New Roman"/>
          <w:sz w:val="20"/>
          <w:szCs w:val="20"/>
        </w:rPr>
        <w:t xml:space="preserve"> payload</w:t>
      </w:r>
      <w:r w:rsidR="00EC7187" w:rsidRPr="00B907B6">
        <w:rPr>
          <w:rFonts w:ascii="Times New Roman" w:hAnsi="Times New Roman" w:cs="Times New Roman"/>
          <w:sz w:val="20"/>
          <w:szCs w:val="20"/>
        </w:rPr>
        <w:t>.</w:t>
      </w:r>
      <w:r w:rsidR="00327E89" w:rsidRPr="00B907B6">
        <w:rPr>
          <w:rFonts w:ascii="Times New Roman" w:hAnsi="Times New Roman" w:cs="Times New Roman"/>
          <w:sz w:val="20"/>
          <w:szCs w:val="20"/>
        </w:rPr>
        <w:t xml:space="preserve"> </w:t>
      </w:r>
      <w:r w:rsidR="00F76BD2" w:rsidRPr="00F76BD2">
        <w:rPr>
          <w:rFonts w:ascii="Times New Roman" w:hAnsi="Times New Roman" w:cs="Times New Roman"/>
          <w:sz w:val="20"/>
          <w:szCs w:val="20"/>
        </w:rPr>
        <w:t xml:space="preserve">To achieve that, as the example shown in Figure 4, the additional field (e.g., </w:t>
      </w:r>
      <w:r w:rsidR="00F76BD2" w:rsidRPr="00F76BD2">
        <w:rPr>
          <w:rFonts w:ascii="Times New Roman" w:hAnsi="Times New Roman" w:cs="Times New Roman"/>
          <w:i/>
          <w:sz w:val="20"/>
          <w:szCs w:val="20"/>
        </w:rPr>
        <w:t>subbandAllocation</w:t>
      </w:r>
      <w:r w:rsidR="00F76BD2" w:rsidRPr="00F76BD2">
        <w:rPr>
          <w:rFonts w:ascii="Times New Roman" w:hAnsi="Times New Roman" w:cs="Times New Roman"/>
          <w:sz w:val="20"/>
          <w:szCs w:val="20"/>
        </w:rPr>
        <w:t xml:space="preserve">) included in a PUCCH resource configuration for LBT subband allocation can be directly adopted to allocate multiple LBT subbands for the PUCCH resource, where each allocated LBT subband has a corresponding frequency domain candidate resource. </w:t>
      </w:r>
      <w:r w:rsidR="001068F2">
        <w:rPr>
          <w:rFonts w:ascii="Times New Roman" w:hAnsi="Times New Roman" w:cs="Times New Roman"/>
          <w:sz w:val="20"/>
          <w:szCs w:val="20"/>
        </w:rPr>
        <w:t xml:space="preserve">Since these </w:t>
      </w:r>
      <w:r w:rsidR="001068F2" w:rsidRPr="00B907B6">
        <w:rPr>
          <w:rFonts w:ascii="Times New Roman" w:hAnsi="Times New Roman" w:cs="Times New Roman"/>
          <w:sz w:val="20"/>
          <w:szCs w:val="20"/>
        </w:rPr>
        <w:t>candidate resource</w:t>
      </w:r>
      <w:r w:rsidR="001068F2">
        <w:rPr>
          <w:rFonts w:ascii="Times New Roman" w:hAnsi="Times New Roman" w:cs="Times New Roman" w:hint="eastAsia"/>
          <w:sz w:val="20"/>
          <w:szCs w:val="20"/>
        </w:rPr>
        <w:t xml:space="preserve">s are configured with the same PUCCH format, </w:t>
      </w:r>
      <w:r w:rsidR="001068F2">
        <w:rPr>
          <w:rFonts w:ascii="Times New Roman" w:hAnsi="Times New Roman" w:cs="Times New Roman"/>
          <w:sz w:val="20"/>
          <w:szCs w:val="20"/>
        </w:rPr>
        <w:t xml:space="preserve">it can </w:t>
      </w:r>
      <w:r w:rsidR="001068F2" w:rsidRPr="001068F2">
        <w:rPr>
          <w:rFonts w:ascii="Times New Roman" w:hAnsi="Times New Roman" w:cs="Times New Roman"/>
          <w:sz w:val="20"/>
          <w:szCs w:val="20"/>
        </w:rPr>
        <w:t xml:space="preserve">avoid efforts that the different </w:t>
      </w:r>
      <w:r w:rsidR="001068F2">
        <w:rPr>
          <w:rFonts w:ascii="Times New Roman" w:hAnsi="Times New Roman" w:cs="Times New Roman"/>
          <w:sz w:val="20"/>
          <w:szCs w:val="20"/>
        </w:rPr>
        <w:t>PUCCH formats</w:t>
      </w:r>
      <w:r>
        <w:rPr>
          <w:rFonts w:ascii="Times New Roman" w:hAnsi="Times New Roman" w:cs="Times New Roman"/>
          <w:sz w:val="20"/>
          <w:szCs w:val="20"/>
        </w:rPr>
        <w:t xml:space="preserve"> for a</w:t>
      </w:r>
      <w:r w:rsidRPr="001068F2">
        <w:rPr>
          <w:rFonts w:ascii="Times New Roman" w:hAnsi="Times New Roman" w:cs="Times New Roman"/>
          <w:sz w:val="20"/>
          <w:szCs w:val="20"/>
        </w:rPr>
        <w:t xml:space="preserve"> UCI report</w:t>
      </w:r>
      <w:r>
        <w:rPr>
          <w:rFonts w:ascii="Times New Roman" w:hAnsi="Times New Roman" w:cs="Times New Roman"/>
          <w:sz w:val="20"/>
          <w:szCs w:val="20"/>
        </w:rPr>
        <w:t xml:space="preserve"> shall be prepared by the UE or detected </w:t>
      </w:r>
      <w:r w:rsidR="004A63DB">
        <w:rPr>
          <w:rFonts w:ascii="Times New Roman" w:hAnsi="Times New Roman" w:cs="Times New Roman"/>
          <w:sz w:val="20"/>
          <w:szCs w:val="20"/>
        </w:rPr>
        <w:t>by the gNB.</w:t>
      </w:r>
    </w:p>
    <w:p w14:paraId="5853C6AA" w14:textId="77777777" w:rsidR="00F76BD2" w:rsidRDefault="00F76BD2" w:rsidP="00F76BD2">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9</w:t>
      </w:r>
      <w:r w:rsidRPr="00B907B6">
        <w:rPr>
          <w:rFonts w:ascii="Times New Roman" w:hAnsi="Times New Roman" w:cs="Times New Roman"/>
          <w:b/>
          <w:color w:val="000000" w:themeColor="text1"/>
          <w:sz w:val="20"/>
          <w:szCs w:val="20"/>
        </w:rPr>
        <w:t xml:space="preserve">: </w:t>
      </w:r>
      <w:r w:rsidRPr="00F76BD2">
        <w:rPr>
          <w:rFonts w:ascii="Times New Roman" w:hAnsi="Times New Roman" w:cs="Times New Roman"/>
          <w:b/>
          <w:color w:val="000000" w:themeColor="text1"/>
          <w:sz w:val="20"/>
          <w:szCs w:val="20"/>
        </w:rPr>
        <w:t xml:space="preserve">Configuration </w:t>
      </w:r>
      <w:r>
        <w:rPr>
          <w:rFonts w:ascii="Times New Roman" w:hAnsi="Times New Roman" w:cs="Times New Roman"/>
          <w:b/>
          <w:color w:val="000000" w:themeColor="text1"/>
          <w:sz w:val="20"/>
          <w:szCs w:val="20"/>
        </w:rPr>
        <w:t xml:space="preserve">of more than one frequency domain candidate resources </w:t>
      </w:r>
      <w:r w:rsidRPr="00B03D54">
        <w:rPr>
          <w:rFonts w:ascii="Times New Roman" w:hAnsi="Times New Roman" w:cs="Times New Roman"/>
          <w:b/>
          <w:color w:val="000000" w:themeColor="text1"/>
          <w:sz w:val="20"/>
          <w:szCs w:val="20"/>
        </w:rPr>
        <w:t>distributed in different LBT subbands</w:t>
      </w:r>
      <w:r>
        <w:rPr>
          <w:rFonts w:ascii="Times New Roman" w:hAnsi="Times New Roman" w:cs="Times New Roman"/>
          <w:b/>
          <w:color w:val="000000" w:themeColor="text1"/>
          <w:sz w:val="20"/>
          <w:szCs w:val="20"/>
        </w:rPr>
        <w:t xml:space="preserve">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r w:rsidRPr="00B03D54">
        <w:rPr>
          <w:rFonts w:ascii="Times New Roman" w:hAnsi="Times New Roman" w:cs="Times New Roman"/>
          <w:b/>
          <w:color w:val="000000" w:themeColor="text1"/>
          <w:sz w:val="20"/>
          <w:szCs w:val="20"/>
        </w:rPr>
        <w:t xml:space="preserve"> should be supported in NR-U</w:t>
      </w:r>
      <w:r>
        <w:rPr>
          <w:rFonts w:ascii="Times New Roman" w:hAnsi="Times New Roman" w:cs="Times New Roman"/>
          <w:b/>
          <w:color w:val="000000" w:themeColor="text1"/>
          <w:sz w:val="20"/>
          <w:szCs w:val="20"/>
        </w:rPr>
        <w:t>.</w:t>
      </w:r>
    </w:p>
    <w:p w14:paraId="199D903D" w14:textId="77777777" w:rsidR="004A63DB" w:rsidRDefault="004A63DB" w:rsidP="004A63DB">
      <w:pPr>
        <w:snapToGrid w:val="0"/>
        <w:jc w:val="both"/>
        <w:rPr>
          <w:rFonts w:ascii="Times New Roman" w:hAnsi="Times New Roman" w:cs="Times New Roman"/>
          <w:sz w:val="20"/>
          <w:szCs w:val="20"/>
        </w:rPr>
      </w:pPr>
    </w:p>
    <w:p w14:paraId="6C537246" w14:textId="77777777" w:rsidR="00F76BD2" w:rsidRDefault="00F76BD2" w:rsidP="004A63DB">
      <w:pPr>
        <w:snapToGrid w:val="0"/>
        <w:jc w:val="both"/>
        <w:rPr>
          <w:rFonts w:ascii="Times New Roman" w:hAnsi="Times New Roman" w:cs="Times New Roman"/>
          <w:sz w:val="20"/>
          <w:szCs w:val="20"/>
        </w:rPr>
      </w:pPr>
    </w:p>
    <w:p w14:paraId="5B6BC91B" w14:textId="5FF8873C" w:rsidR="003D2D57" w:rsidRPr="00B907B6" w:rsidRDefault="00F76BD2" w:rsidP="00F76BD2">
      <w:pPr>
        <w:snapToGrid w:val="0"/>
        <w:jc w:val="center"/>
        <w:rPr>
          <w:rFonts w:ascii="Times New Roman" w:hAnsi="Times New Roman" w:cs="Times New Roman"/>
          <w:sz w:val="20"/>
          <w:szCs w:val="20"/>
        </w:rPr>
      </w:pPr>
      <w:r>
        <w:object w:dxaOrig="18293" w:dyaOrig="7038" w14:anchorId="1A7490F3">
          <v:shape id="_x0000_i1027" type="#_x0000_t75" style="width:476.45pt;height:181.55pt" o:ole="">
            <v:imagedata r:id="rId15" o:title=""/>
          </v:shape>
          <o:OLEObject Type="Embed" ProgID="Visio.Drawing.15" ShapeID="_x0000_i1027" DrawAspect="Content" ObjectID="_1627476857" r:id="rId16"/>
        </w:object>
      </w:r>
    </w:p>
    <w:p w14:paraId="4B1EAD18" w14:textId="764EC06F" w:rsidR="00E167A5" w:rsidRDefault="008C375C" w:rsidP="008C375C">
      <w:pPr>
        <w:snapToGrid w:val="0"/>
        <w:spacing w:afterLines="50" w:after="180"/>
        <w:jc w:val="center"/>
        <w:rPr>
          <w:rFonts w:ascii="Times New Roman" w:hAnsi="Times New Roman" w:cs="Times New Roman"/>
          <w:b/>
          <w:sz w:val="22"/>
        </w:rPr>
      </w:pPr>
      <w:r w:rsidRPr="00B907B6">
        <w:rPr>
          <w:rFonts w:ascii="Times New Roman" w:hAnsi="Times New Roman" w:cs="Times New Roman"/>
          <w:b/>
          <w:color w:val="000000" w:themeColor="text1"/>
          <w:sz w:val="20"/>
          <w:szCs w:val="20"/>
        </w:rPr>
        <w:t xml:space="preserve">Figure </w:t>
      </w:r>
      <w:r>
        <w:rPr>
          <w:rFonts w:ascii="Times New Roman" w:hAnsi="Times New Roman" w:cs="Times New Roman"/>
          <w:b/>
          <w:color w:val="000000" w:themeColor="text1"/>
          <w:sz w:val="20"/>
          <w:szCs w:val="20"/>
        </w:rPr>
        <w:t>4</w:t>
      </w:r>
      <w:r w:rsidRPr="00B907B6">
        <w:rPr>
          <w:rFonts w:ascii="Times New Roman" w:hAnsi="Times New Roman" w:cs="Times New Roman"/>
          <w:b/>
          <w:color w:val="000000" w:themeColor="text1"/>
          <w:sz w:val="20"/>
          <w:szCs w:val="20"/>
        </w:rPr>
        <w:t xml:space="preserve">. Example of </w:t>
      </w:r>
      <w:r>
        <w:rPr>
          <w:rFonts w:ascii="Times New Roman" w:hAnsi="Times New Roman" w:cs="Times New Roman"/>
          <w:b/>
          <w:color w:val="000000" w:themeColor="text1"/>
          <w:sz w:val="20"/>
          <w:szCs w:val="20"/>
        </w:rPr>
        <w:t xml:space="preserve">frequency domain resource allocation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p>
    <w:p w14:paraId="16D893FA" w14:textId="03862264" w:rsidR="009955AD" w:rsidRPr="00F76BD2" w:rsidRDefault="009955AD" w:rsidP="009955AD">
      <w:pPr>
        <w:pStyle w:val="a3"/>
        <w:numPr>
          <w:ilvl w:val="0"/>
          <w:numId w:val="5"/>
        </w:numPr>
        <w:snapToGrid w:val="0"/>
        <w:spacing w:line="480" w:lineRule="auto"/>
        <w:ind w:leftChars="0"/>
        <w:contextualSpacing/>
        <w:jc w:val="both"/>
        <w:outlineLvl w:val="0"/>
        <w:rPr>
          <w:rFonts w:ascii="Arial" w:hAnsi="Arial" w:cs="Arial"/>
          <w:b/>
          <w:sz w:val="28"/>
          <w:szCs w:val="28"/>
        </w:rPr>
      </w:pPr>
      <w:r w:rsidRPr="00F76BD2">
        <w:rPr>
          <w:rFonts w:ascii="Arial" w:hAnsi="Arial" w:cs="Arial"/>
          <w:b/>
          <w:bCs/>
          <w:sz w:val="28"/>
          <w:szCs w:val="28"/>
        </w:rPr>
        <w:lastRenderedPageBreak/>
        <w:t>Data channel design for wideband operation</w:t>
      </w:r>
      <w:r w:rsidRPr="00F76BD2">
        <w:rPr>
          <w:rFonts w:ascii="Arial" w:hAnsi="Arial" w:cs="Arial"/>
          <w:b/>
          <w:sz w:val="28"/>
          <w:szCs w:val="28"/>
        </w:rPr>
        <w:t xml:space="preserve"> </w:t>
      </w:r>
    </w:p>
    <w:p w14:paraId="0DB1AADA" w14:textId="23C6E25C" w:rsidR="009955AD" w:rsidRPr="00B907B6" w:rsidRDefault="009955AD" w:rsidP="009955AD">
      <w:pPr>
        <w:pStyle w:val="a3"/>
        <w:numPr>
          <w:ilvl w:val="1"/>
          <w:numId w:val="5"/>
        </w:numPr>
        <w:snapToGrid w:val="0"/>
        <w:spacing w:before="240" w:after="240"/>
        <w:ind w:leftChars="0"/>
        <w:contextualSpacing/>
        <w:jc w:val="both"/>
        <w:outlineLvl w:val="1"/>
        <w:rPr>
          <w:rFonts w:ascii="Arial" w:hAnsi="Arial" w:cs="Arial"/>
          <w:b/>
          <w:szCs w:val="24"/>
        </w:rPr>
      </w:pPr>
      <w:r>
        <w:rPr>
          <w:rFonts w:ascii="Arial" w:hAnsi="Arial" w:cs="Arial"/>
          <w:b/>
          <w:szCs w:val="24"/>
        </w:rPr>
        <w:t xml:space="preserve"> PUSCH</w:t>
      </w:r>
    </w:p>
    <w:p w14:paraId="28126B8E" w14:textId="21FF80CE" w:rsidR="009955AD" w:rsidRPr="009955AD" w:rsidRDefault="009955AD" w:rsidP="009955AD">
      <w:pPr>
        <w:snapToGrid w:val="0"/>
        <w:spacing w:before="240" w:after="240"/>
        <w:rPr>
          <w:rFonts w:ascii="Times New Roman" w:hAnsi="Times New Roman" w:cs="Times New Roman"/>
          <w:sz w:val="20"/>
          <w:szCs w:val="20"/>
        </w:rPr>
      </w:pPr>
      <w:r w:rsidRPr="009955AD">
        <w:rPr>
          <w:rFonts w:ascii="Times New Roman" w:hAnsi="Times New Roman" w:cs="Times New Roman"/>
          <w:sz w:val="20"/>
          <w:szCs w:val="20"/>
        </w:rPr>
        <w:t>In RAN1#</w:t>
      </w:r>
      <w:r>
        <w:rPr>
          <w:rFonts w:ascii="Times New Roman" w:hAnsi="Times New Roman" w:cs="Times New Roman"/>
          <w:sz w:val="20"/>
          <w:szCs w:val="20"/>
        </w:rPr>
        <w:t>96bis meeting, the following agreement was made for UL wideband operation:</w:t>
      </w:r>
    </w:p>
    <w:p w14:paraId="7E50B67E" w14:textId="77777777" w:rsidR="009955AD" w:rsidRPr="009955AD" w:rsidRDefault="009955AD" w:rsidP="009955AD">
      <w:pPr>
        <w:spacing w:line="240" w:lineRule="exact"/>
        <w:rPr>
          <w:rFonts w:ascii="Times New Roman" w:hAnsi="Times New Roman" w:cs="Times New Roman"/>
          <w:b/>
          <w:sz w:val="20"/>
          <w:szCs w:val="20"/>
          <w:lang w:eastAsia="x-none"/>
        </w:rPr>
      </w:pPr>
      <w:r w:rsidRPr="009955AD">
        <w:rPr>
          <w:rFonts w:ascii="Times New Roman" w:hAnsi="Times New Roman" w:cs="Times New Roman"/>
          <w:b/>
          <w:sz w:val="20"/>
          <w:szCs w:val="20"/>
          <w:highlight w:val="green"/>
          <w:lang w:eastAsia="x-none"/>
        </w:rPr>
        <w:t>Agreement RAN1#96bis:</w:t>
      </w:r>
    </w:p>
    <w:p w14:paraId="79760718" w14:textId="77777777" w:rsidR="009955AD" w:rsidRPr="009955AD" w:rsidRDefault="009955AD" w:rsidP="009955AD">
      <w:pPr>
        <w:widowControl/>
        <w:spacing w:line="240" w:lineRule="exact"/>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For UL transmissions in a serving cell with carrier bandwidth greater than LBT bandwidth, for the case where UE performs CCA before UL transmission, support at least Alt. 1 among the following alternatives</w:t>
      </w:r>
    </w:p>
    <w:p w14:paraId="3FFB1649" w14:textId="77777777" w:rsidR="009955AD" w:rsidRPr="009955AD" w:rsidRDefault="009955AD" w:rsidP="009955AD">
      <w:pPr>
        <w:widowControl/>
        <w:numPr>
          <w:ilvl w:val="0"/>
          <w:numId w:val="31"/>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val="en-GB" w:eastAsia="x-none"/>
        </w:rPr>
        <w:t>Alt. 1: UE transmits the PUSCH only if CCA is successful at UE in all LBT bandwidths of the scheduled PUSCH.</w:t>
      </w:r>
    </w:p>
    <w:p w14:paraId="1E92BE05" w14:textId="77777777" w:rsidR="009955AD" w:rsidRPr="009955AD" w:rsidRDefault="009955AD" w:rsidP="009955AD">
      <w:pPr>
        <w:widowControl/>
        <w:numPr>
          <w:ilvl w:val="0"/>
          <w:numId w:val="30"/>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val="en-GB" w:eastAsia="x-none"/>
        </w:rPr>
        <w:t xml:space="preserve">Alt. 2: </w:t>
      </w:r>
      <w:r w:rsidRPr="009955AD">
        <w:rPr>
          <w:rFonts w:ascii="Times New Roman" w:hAnsi="Times New Roman" w:cs="Times New Roman" w:hint="eastAsia"/>
          <w:bCs/>
          <w:sz w:val="20"/>
          <w:szCs w:val="20"/>
          <w:lang w:val="en-GB" w:eastAsia="x-none"/>
        </w:rPr>
        <w:t xml:space="preserve">UE transmits </w:t>
      </w:r>
      <w:r w:rsidRPr="009955AD">
        <w:rPr>
          <w:rFonts w:ascii="Times New Roman" w:hAnsi="Times New Roman" w:cs="Times New Roman"/>
          <w:bCs/>
          <w:sz w:val="20"/>
          <w:szCs w:val="20"/>
          <w:lang w:val="en-GB" w:eastAsia="x-none"/>
        </w:rPr>
        <w:t xml:space="preserve">the PUSCH in all or a subset of LBT bandwidths of the scheduled PUSCH for which CCA is successful at the UE. </w:t>
      </w:r>
    </w:p>
    <w:p w14:paraId="7E9094F0" w14:textId="77777777" w:rsidR="009955AD" w:rsidRPr="009955AD" w:rsidRDefault="009955AD" w:rsidP="009955AD">
      <w:pPr>
        <w:widowControl/>
        <w:numPr>
          <w:ilvl w:val="1"/>
          <w:numId w:val="30"/>
        </w:numPr>
        <w:spacing w:line="240" w:lineRule="exact"/>
        <w:ind w:left="1418" w:hanging="284"/>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Decision on whether this alternative is supported will depend on feedback from RAN4</w:t>
      </w:r>
    </w:p>
    <w:p w14:paraId="0BAEB433" w14:textId="77777777" w:rsidR="009955AD" w:rsidRPr="009955AD" w:rsidRDefault="009955AD" w:rsidP="009955AD">
      <w:pPr>
        <w:widowControl/>
        <w:numPr>
          <w:ilvl w:val="1"/>
          <w:numId w:val="30"/>
        </w:numPr>
        <w:spacing w:line="240" w:lineRule="exact"/>
        <w:ind w:left="1418" w:hanging="284"/>
        <w:rPr>
          <w:rFonts w:ascii="Times New Roman" w:hAnsi="Times New Roman" w:cs="Times New Roman"/>
          <w:sz w:val="20"/>
          <w:szCs w:val="20"/>
          <w:lang w:eastAsia="x-none"/>
        </w:rPr>
      </w:pPr>
      <w:r w:rsidRPr="009955AD">
        <w:rPr>
          <w:rFonts w:ascii="Times New Roman" w:hAnsi="Times New Roman" w:cs="Times New Roman" w:hint="eastAsia"/>
          <w:bCs/>
          <w:sz w:val="20"/>
          <w:szCs w:val="20"/>
          <w:lang w:eastAsia="x-none"/>
        </w:rPr>
        <w:t>F</w:t>
      </w:r>
      <w:r w:rsidRPr="009955AD">
        <w:rPr>
          <w:rFonts w:ascii="Times New Roman" w:hAnsi="Times New Roman" w:cs="Times New Roman"/>
          <w:bCs/>
          <w:sz w:val="20"/>
          <w:szCs w:val="20"/>
          <w:lang w:eastAsia="x-none"/>
        </w:rPr>
        <w:t>FS on restrictions to the subset of LBT bandwidths, e.g., only contiguous LBT bandwidths allowed, based on feedback from RAN4</w:t>
      </w:r>
    </w:p>
    <w:p w14:paraId="4843C97D" w14:textId="77777777" w:rsidR="009955AD" w:rsidRPr="009955AD" w:rsidRDefault="009955AD" w:rsidP="009955AD">
      <w:pPr>
        <w:widowControl/>
        <w:numPr>
          <w:ilvl w:val="0"/>
          <w:numId w:val="32"/>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Necessity of guard bands within the scheduled PUSCH should be determined by RAN4</w:t>
      </w:r>
    </w:p>
    <w:p w14:paraId="6B95ACC1" w14:textId="77777777" w:rsidR="009955AD" w:rsidRPr="009955AD" w:rsidRDefault="009955AD" w:rsidP="009955AD">
      <w:pPr>
        <w:widowControl/>
        <w:numPr>
          <w:ilvl w:val="0"/>
          <w:numId w:val="32"/>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FFS: Whether this applies also to configured grant PUSCH</w:t>
      </w:r>
    </w:p>
    <w:p w14:paraId="6A1ADB92" w14:textId="493C8CF5" w:rsidR="009955AD" w:rsidRDefault="009955AD" w:rsidP="009955AD">
      <w:pPr>
        <w:widowControl/>
        <w:numPr>
          <w:ilvl w:val="0"/>
          <w:numId w:val="32"/>
        </w:numPr>
        <w:spacing w:line="240" w:lineRule="exact"/>
        <w:ind w:left="720"/>
        <w:rPr>
          <w:rFonts w:ascii="Times New Roman" w:hAnsi="Times New Roman" w:cs="Times New Roman"/>
          <w:sz w:val="20"/>
          <w:szCs w:val="20"/>
          <w:lang w:eastAsia="x-none"/>
        </w:rPr>
      </w:pPr>
      <w:r w:rsidRPr="009955AD">
        <w:rPr>
          <w:rFonts w:ascii="Times New Roman" w:hAnsi="Times New Roman" w:cs="Times New Roman"/>
          <w:sz w:val="20"/>
          <w:szCs w:val="20"/>
          <w:lang w:eastAsia="x-none"/>
        </w:rPr>
        <w:t>FFS: Whether this applies also to PUCCH</w:t>
      </w:r>
    </w:p>
    <w:p w14:paraId="32F8760F" w14:textId="77777777" w:rsidR="009955AD" w:rsidRPr="009955AD" w:rsidRDefault="009955AD" w:rsidP="009955AD">
      <w:pPr>
        <w:widowControl/>
        <w:spacing w:line="240" w:lineRule="exact"/>
        <w:rPr>
          <w:rFonts w:ascii="Times New Roman" w:hAnsi="Times New Roman" w:cs="Times New Roman"/>
          <w:sz w:val="20"/>
          <w:szCs w:val="20"/>
          <w:lang w:eastAsia="x-none"/>
        </w:rPr>
      </w:pPr>
    </w:p>
    <w:p w14:paraId="303D5481" w14:textId="6F12B7BF" w:rsidR="009955AD" w:rsidRPr="009955AD" w:rsidRDefault="009955AD" w:rsidP="00D02D1F">
      <w:pPr>
        <w:snapToGrid w:val="0"/>
        <w:spacing w:before="240"/>
        <w:jc w:val="both"/>
        <w:rPr>
          <w:rFonts w:ascii="Times New Roman" w:hAnsi="Times New Roman" w:cs="Times New Roman"/>
          <w:sz w:val="20"/>
          <w:szCs w:val="20"/>
        </w:rPr>
      </w:pPr>
      <w:r>
        <w:rPr>
          <w:rFonts w:ascii="Times New Roman" w:hAnsi="Times New Roman" w:cs="Times New Roman"/>
          <w:sz w:val="20"/>
          <w:szCs w:val="20"/>
        </w:rPr>
        <w:t>C</w:t>
      </w:r>
      <w:r w:rsidRPr="009955AD">
        <w:rPr>
          <w:rFonts w:ascii="Times New Roman" w:hAnsi="Times New Roman" w:cs="Times New Roman"/>
          <w:sz w:val="20"/>
          <w:szCs w:val="20"/>
        </w:rPr>
        <w:t xml:space="preserve">ompared to Alt 1, </w:t>
      </w:r>
      <w:r>
        <w:rPr>
          <w:rFonts w:ascii="Times New Roman" w:hAnsi="Times New Roman" w:cs="Times New Roman"/>
          <w:sz w:val="20"/>
          <w:szCs w:val="20"/>
        </w:rPr>
        <w:t xml:space="preserve">we see that Alt 2 requires more </w:t>
      </w:r>
      <w:r w:rsidRPr="009955AD">
        <w:rPr>
          <w:rFonts w:ascii="Times New Roman" w:hAnsi="Times New Roman" w:cs="Times New Roman"/>
          <w:sz w:val="20"/>
          <w:szCs w:val="20"/>
        </w:rPr>
        <w:t>UE implementation complexity</w:t>
      </w:r>
      <w:r>
        <w:rPr>
          <w:rFonts w:ascii="Times New Roman" w:hAnsi="Times New Roman" w:cs="Times New Roman"/>
          <w:sz w:val="20"/>
          <w:szCs w:val="20"/>
        </w:rPr>
        <w:t xml:space="preserve"> including not only re-encoding or puncturing but also </w:t>
      </w:r>
      <w:r w:rsidR="00B05439">
        <w:rPr>
          <w:rFonts w:ascii="Times New Roman" w:hAnsi="Times New Roman" w:cs="Times New Roman"/>
          <w:sz w:val="20"/>
          <w:szCs w:val="20"/>
        </w:rPr>
        <w:t xml:space="preserve">adapting </w:t>
      </w:r>
      <w:r w:rsidRPr="009955AD">
        <w:rPr>
          <w:rFonts w:ascii="Times New Roman" w:hAnsi="Times New Roman" w:cs="Times New Roman"/>
          <w:sz w:val="20"/>
          <w:szCs w:val="20"/>
        </w:rPr>
        <w:t>baseband filtering</w:t>
      </w:r>
      <w:r w:rsidR="00B05439">
        <w:rPr>
          <w:rFonts w:ascii="Times New Roman" w:hAnsi="Times New Roman" w:cs="Times New Roman"/>
          <w:sz w:val="20"/>
          <w:szCs w:val="20"/>
        </w:rPr>
        <w:t>. From gNB’s perspective</w:t>
      </w:r>
      <w:r w:rsidR="00B05439">
        <w:rPr>
          <w:rFonts w:ascii="Times New Roman" w:hAnsi="Times New Roman" w:cs="Times New Roman" w:hint="eastAsia"/>
          <w:sz w:val="20"/>
          <w:szCs w:val="20"/>
        </w:rPr>
        <w:t xml:space="preserve">, Alt 2 requires </w:t>
      </w:r>
      <w:r w:rsidR="00B05439" w:rsidRPr="009955AD">
        <w:rPr>
          <w:rFonts w:ascii="Times New Roman" w:hAnsi="Times New Roman" w:cs="Times New Roman"/>
          <w:sz w:val="20"/>
          <w:szCs w:val="20"/>
        </w:rPr>
        <w:t>a means for</w:t>
      </w:r>
      <w:r w:rsidR="00B05439">
        <w:rPr>
          <w:rFonts w:ascii="Times New Roman" w:hAnsi="Times New Roman" w:cs="Times New Roman"/>
          <w:sz w:val="20"/>
          <w:szCs w:val="20"/>
        </w:rPr>
        <w:t xml:space="preserve"> gNB to blindly detect the actual transmitted</w:t>
      </w:r>
      <w:r w:rsidR="00B05439">
        <w:rPr>
          <w:rFonts w:ascii="Times New Roman" w:hAnsi="Times New Roman" w:cs="Times New Roman" w:hint="eastAsia"/>
          <w:sz w:val="20"/>
          <w:szCs w:val="20"/>
        </w:rPr>
        <w:t xml:space="preserve"> bandwidth of </w:t>
      </w:r>
      <w:r w:rsidR="00B05439">
        <w:rPr>
          <w:rFonts w:ascii="Times New Roman" w:hAnsi="Times New Roman" w:cs="Times New Roman"/>
          <w:sz w:val="20"/>
          <w:szCs w:val="20"/>
        </w:rPr>
        <w:t xml:space="preserve">PUSCH based on DMRS if </w:t>
      </w:r>
      <w:r w:rsidR="00B05439" w:rsidRPr="009955AD">
        <w:rPr>
          <w:rFonts w:ascii="Times New Roman" w:hAnsi="Times New Roman" w:cs="Times New Roman"/>
          <w:sz w:val="20"/>
          <w:szCs w:val="20"/>
        </w:rPr>
        <w:t xml:space="preserve">only some of LBT </w:t>
      </w:r>
      <w:r w:rsidR="00B05439">
        <w:rPr>
          <w:rFonts w:ascii="Times New Roman" w:hAnsi="Times New Roman" w:cs="Times New Roman"/>
          <w:sz w:val="20"/>
          <w:szCs w:val="20"/>
        </w:rPr>
        <w:t>subbands</w:t>
      </w:r>
      <w:r w:rsidR="00B05439" w:rsidRPr="009955AD">
        <w:rPr>
          <w:rFonts w:ascii="Times New Roman" w:hAnsi="Times New Roman" w:cs="Times New Roman"/>
          <w:sz w:val="20"/>
          <w:szCs w:val="20"/>
        </w:rPr>
        <w:t xml:space="preserve"> are available</w:t>
      </w:r>
      <w:r w:rsidR="00B05439">
        <w:rPr>
          <w:rFonts w:ascii="Times New Roman" w:hAnsi="Times New Roman" w:cs="Times New Roman"/>
          <w:sz w:val="20"/>
          <w:szCs w:val="20"/>
        </w:rPr>
        <w:t xml:space="preserve">. </w:t>
      </w:r>
      <w:r w:rsidR="00B05439" w:rsidRPr="009955AD">
        <w:rPr>
          <w:rFonts w:ascii="Times New Roman" w:hAnsi="Times New Roman" w:cs="Times New Roman"/>
          <w:sz w:val="20"/>
          <w:szCs w:val="20"/>
        </w:rPr>
        <w:t xml:space="preserve">However, DMRS based blind detection is not sufficiently reliable especially </w:t>
      </w:r>
      <w:r w:rsidR="00B05439">
        <w:rPr>
          <w:rFonts w:ascii="Times New Roman" w:hAnsi="Times New Roman" w:cs="Times New Roman"/>
          <w:sz w:val="20"/>
          <w:szCs w:val="20"/>
        </w:rPr>
        <w:t xml:space="preserve">in </w:t>
      </w:r>
      <w:r w:rsidR="00B05439" w:rsidRPr="009955AD">
        <w:rPr>
          <w:rFonts w:ascii="Times New Roman" w:hAnsi="Times New Roman" w:cs="Times New Roman"/>
          <w:sz w:val="20"/>
          <w:szCs w:val="20"/>
        </w:rPr>
        <w:t>unlicensed band</w:t>
      </w:r>
      <w:r w:rsidR="00B05439">
        <w:rPr>
          <w:rFonts w:ascii="Times New Roman" w:hAnsi="Times New Roman" w:cs="Times New Roman"/>
          <w:sz w:val="20"/>
          <w:szCs w:val="20"/>
        </w:rPr>
        <w:t>s.</w:t>
      </w:r>
      <w:r w:rsidR="00D02D1F">
        <w:rPr>
          <w:rFonts w:ascii="Times New Roman" w:hAnsi="Times New Roman" w:cs="Times New Roman"/>
          <w:sz w:val="20"/>
          <w:szCs w:val="20"/>
        </w:rPr>
        <w:t xml:space="preserve"> Moreover, usually</w:t>
      </w:r>
      <w:r w:rsidR="00D02D1F">
        <w:rPr>
          <w:rFonts w:ascii="Times New Roman" w:hAnsi="Times New Roman" w:cs="Times New Roman" w:hint="eastAsia"/>
          <w:sz w:val="20"/>
          <w:szCs w:val="20"/>
        </w:rPr>
        <w:t xml:space="preserve">, </w:t>
      </w:r>
      <w:r w:rsidR="00D02D1F">
        <w:rPr>
          <w:rFonts w:ascii="Times New Roman" w:hAnsi="Times New Roman" w:cs="Times New Roman"/>
          <w:sz w:val="20"/>
          <w:szCs w:val="20"/>
        </w:rPr>
        <w:t xml:space="preserve">HARQ retransmission of a whole TB is still necessary for a </w:t>
      </w:r>
      <w:r w:rsidR="00B05439">
        <w:rPr>
          <w:rFonts w:ascii="Times New Roman" w:hAnsi="Times New Roman" w:cs="Times New Roman"/>
          <w:sz w:val="20"/>
          <w:szCs w:val="20"/>
        </w:rPr>
        <w:t>PUSCH transmission</w:t>
      </w:r>
      <w:r w:rsidR="00D02D1F">
        <w:rPr>
          <w:rFonts w:ascii="Times New Roman" w:hAnsi="Times New Roman" w:cs="Times New Roman" w:hint="eastAsia"/>
          <w:sz w:val="20"/>
          <w:szCs w:val="20"/>
        </w:rPr>
        <w:t xml:space="preserve"> that is</w:t>
      </w:r>
      <w:r w:rsidR="00D02D1F" w:rsidRPr="00D02D1F">
        <w:rPr>
          <w:rFonts w:ascii="Times New Roman" w:hAnsi="Times New Roman" w:cs="Times New Roman"/>
          <w:sz w:val="20"/>
          <w:szCs w:val="20"/>
        </w:rPr>
        <w:t xml:space="preserve"> </w:t>
      </w:r>
      <w:r w:rsidR="00D02D1F">
        <w:rPr>
          <w:rFonts w:ascii="Times New Roman" w:hAnsi="Times New Roman" w:cs="Times New Roman"/>
          <w:sz w:val="20"/>
          <w:szCs w:val="20"/>
        </w:rPr>
        <w:t>punctured in frequency domain if no enhancement</w:t>
      </w:r>
      <w:r w:rsidR="00D02D1F">
        <w:rPr>
          <w:rFonts w:ascii="Times New Roman" w:hAnsi="Times New Roman" w:cs="Times New Roman" w:hint="eastAsia"/>
          <w:sz w:val="20"/>
          <w:szCs w:val="20"/>
        </w:rPr>
        <w:t xml:space="preserve"> to </w:t>
      </w:r>
      <w:r w:rsidR="00D02D1F">
        <w:rPr>
          <w:rFonts w:ascii="Times New Roman" w:hAnsi="Times New Roman" w:cs="Times New Roman"/>
          <w:sz w:val="20"/>
          <w:szCs w:val="20"/>
        </w:rPr>
        <w:t xml:space="preserve">code block mapping rule used in NR Rel-15. </w:t>
      </w:r>
      <w:r w:rsidRPr="009955AD">
        <w:rPr>
          <w:rFonts w:ascii="Times New Roman" w:hAnsi="Times New Roman" w:cs="Times New Roman"/>
          <w:sz w:val="20"/>
          <w:szCs w:val="20"/>
        </w:rPr>
        <w:t xml:space="preserve">By taking account the above aspects, </w:t>
      </w:r>
      <w:r w:rsidR="00D02D1F">
        <w:rPr>
          <w:rFonts w:ascii="Times New Roman" w:hAnsi="Times New Roman" w:cs="Times New Roman"/>
          <w:sz w:val="20"/>
          <w:szCs w:val="20"/>
        </w:rPr>
        <w:t>Alt 2</w:t>
      </w:r>
      <w:r w:rsidRPr="009955AD">
        <w:rPr>
          <w:rFonts w:ascii="Times New Roman" w:hAnsi="Times New Roman" w:cs="Times New Roman"/>
          <w:sz w:val="20"/>
          <w:szCs w:val="20"/>
        </w:rPr>
        <w:t xml:space="preserve"> seems not feasible for UL wideband operation</w:t>
      </w:r>
      <w:r w:rsidR="00D02D1F">
        <w:rPr>
          <w:rFonts w:ascii="Times New Roman" w:hAnsi="Times New Roman" w:cs="Times New Roman"/>
          <w:sz w:val="20"/>
          <w:szCs w:val="20"/>
        </w:rPr>
        <w:t xml:space="preserve"> in NR-U</w:t>
      </w:r>
      <w:r w:rsidRPr="009955AD">
        <w:rPr>
          <w:rFonts w:ascii="Times New Roman" w:hAnsi="Times New Roman" w:cs="Times New Roman"/>
          <w:sz w:val="20"/>
          <w:szCs w:val="20"/>
        </w:rPr>
        <w:t>.</w:t>
      </w:r>
    </w:p>
    <w:p w14:paraId="0AAD851C" w14:textId="1F90BDA9" w:rsidR="009955AD" w:rsidRPr="00D02D1F" w:rsidRDefault="009955AD" w:rsidP="009955AD">
      <w:pPr>
        <w:snapToGrid w:val="0"/>
        <w:spacing w:before="240"/>
        <w:rPr>
          <w:rFonts w:ascii="Times New Roman" w:hAnsi="Times New Roman" w:cs="Times New Roman"/>
          <w:b/>
          <w:color w:val="000000" w:themeColor="text1"/>
          <w:sz w:val="20"/>
          <w:szCs w:val="20"/>
        </w:rPr>
      </w:pPr>
      <w:r w:rsidRPr="00D02D1F">
        <w:rPr>
          <w:rFonts w:ascii="Times New Roman" w:hAnsi="Times New Roman" w:cs="Times New Roman"/>
          <w:b/>
          <w:color w:val="000000" w:themeColor="text1"/>
          <w:sz w:val="20"/>
          <w:szCs w:val="20"/>
        </w:rPr>
        <w:t>Proposal 1</w:t>
      </w:r>
      <w:r w:rsidR="00D02D1F">
        <w:rPr>
          <w:rFonts w:ascii="Times New Roman" w:hAnsi="Times New Roman" w:cs="Times New Roman"/>
          <w:b/>
          <w:color w:val="000000" w:themeColor="text1"/>
          <w:sz w:val="20"/>
          <w:szCs w:val="20"/>
        </w:rPr>
        <w:t>0</w:t>
      </w:r>
      <w:r w:rsidRPr="00D02D1F">
        <w:rPr>
          <w:rFonts w:ascii="Times New Roman" w:hAnsi="Times New Roman" w:cs="Times New Roman"/>
          <w:b/>
          <w:color w:val="000000" w:themeColor="text1"/>
          <w:sz w:val="20"/>
          <w:szCs w:val="20"/>
        </w:rPr>
        <w:t>: For uplink wideband operation, Alt 2 is not considered for Rel-16.</w:t>
      </w:r>
    </w:p>
    <w:p w14:paraId="05F0E1FE" w14:textId="77777777" w:rsidR="009955AD" w:rsidRPr="00B03D54" w:rsidRDefault="009955AD" w:rsidP="00B03D54">
      <w:pPr>
        <w:snapToGrid w:val="0"/>
        <w:spacing w:before="240"/>
        <w:rPr>
          <w:rFonts w:ascii="Times New Roman" w:hAnsi="Times New Roman" w:cs="Times New Roman"/>
          <w:b/>
          <w:color w:val="000000" w:themeColor="text1"/>
          <w:sz w:val="20"/>
          <w:szCs w:val="20"/>
        </w:rPr>
      </w:pPr>
    </w:p>
    <w:p w14:paraId="436CB754" w14:textId="77777777" w:rsidR="00DE214E" w:rsidRPr="002E6C47" w:rsidRDefault="00DE214E" w:rsidP="00195F45">
      <w:pPr>
        <w:jc w:val="both"/>
        <w:rPr>
          <w:rFonts w:ascii="Times New Roman" w:hAnsi="Times New Roman" w:cs="Times New Roman"/>
          <w:sz w:val="20"/>
          <w:szCs w:val="20"/>
        </w:rPr>
      </w:pPr>
    </w:p>
    <w:p w14:paraId="4B1EAD25" w14:textId="77777777" w:rsidR="00195F45" w:rsidRPr="00B907B6" w:rsidRDefault="00195F45" w:rsidP="00195F45">
      <w:pPr>
        <w:pStyle w:val="a3"/>
        <w:numPr>
          <w:ilvl w:val="0"/>
          <w:numId w:val="5"/>
        </w:numPr>
        <w:spacing w:after="240"/>
        <w:ind w:leftChars="0"/>
        <w:outlineLvl w:val="0"/>
        <w:rPr>
          <w:rFonts w:ascii="Arial" w:hAnsi="Arial" w:cs="Arial"/>
          <w:b/>
          <w:szCs w:val="24"/>
        </w:rPr>
      </w:pPr>
      <w:r w:rsidRPr="00B907B6">
        <w:rPr>
          <w:rFonts w:ascii="Arial" w:hAnsi="Arial" w:cs="Arial"/>
          <w:b/>
          <w:szCs w:val="24"/>
        </w:rPr>
        <w:t>Conclusion</w:t>
      </w:r>
    </w:p>
    <w:p w14:paraId="4B1EAD26" w14:textId="78F9B916" w:rsidR="00195F45" w:rsidRPr="00962A2B" w:rsidRDefault="00195F45" w:rsidP="00195F45">
      <w:pPr>
        <w:spacing w:afterLines="50" w:after="180"/>
        <w:rPr>
          <w:rFonts w:ascii="Times New Roman" w:hAnsi="Times New Roman" w:cs="Times New Roman"/>
          <w:sz w:val="20"/>
          <w:szCs w:val="20"/>
        </w:rPr>
      </w:pPr>
      <w:r w:rsidRPr="00962A2B">
        <w:rPr>
          <w:rFonts w:ascii="Times New Roman" w:hAnsi="Times New Roman" w:cs="Times New Roman"/>
          <w:sz w:val="20"/>
          <w:szCs w:val="20"/>
        </w:rPr>
        <w:t>In</w:t>
      </w:r>
      <w:r w:rsidR="00ED295E" w:rsidRPr="00962A2B">
        <w:rPr>
          <w:rFonts w:ascii="Times New Roman" w:hAnsi="Times New Roman" w:cs="Times New Roman"/>
          <w:sz w:val="20"/>
          <w:szCs w:val="20"/>
        </w:rPr>
        <w:t xml:space="preserve"> summary, we have the following</w:t>
      </w:r>
      <w:r w:rsidR="00010A8E" w:rsidRPr="00962A2B">
        <w:rPr>
          <w:rFonts w:ascii="Times New Roman" w:hAnsi="Times New Roman" w:cs="Times New Roman"/>
          <w:sz w:val="20"/>
          <w:szCs w:val="20"/>
        </w:rPr>
        <w:t xml:space="preserve"> proposals</w:t>
      </w:r>
      <w:r w:rsidRPr="00962A2B">
        <w:rPr>
          <w:rFonts w:ascii="Times New Roman" w:hAnsi="Times New Roman" w:cs="Times New Roman"/>
          <w:sz w:val="20"/>
          <w:szCs w:val="20"/>
        </w:rPr>
        <w:t>:</w:t>
      </w:r>
    </w:p>
    <w:p w14:paraId="566DFBC4" w14:textId="77777777" w:rsidR="00764E53" w:rsidRPr="00B907B6" w:rsidRDefault="00764E53" w:rsidP="00764E53">
      <w:pPr>
        <w:snapToGrid w:val="0"/>
        <w:spacing w:line="280" w:lineRule="exact"/>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Proposal </w:t>
      </w:r>
      <w:r w:rsidRPr="00B907B6">
        <w:rPr>
          <w:rFonts w:ascii="Times New Roman" w:hAnsi="Times New Roman" w:cs="Times New Roman" w:hint="eastAsia"/>
          <w:b/>
          <w:color w:val="000000" w:themeColor="text1"/>
          <w:sz w:val="20"/>
          <w:szCs w:val="20"/>
        </w:rPr>
        <w:t>1</w:t>
      </w:r>
      <w:r w:rsidRPr="00B907B6">
        <w:rPr>
          <w:rFonts w:ascii="Times New Roman" w:hAnsi="Times New Roman" w:cs="Times New Roman"/>
          <w:b/>
          <w:color w:val="000000" w:themeColor="text1"/>
          <w:sz w:val="20"/>
          <w:szCs w:val="20"/>
        </w:rPr>
        <w:t>: Support the following CO-related control information</w:t>
      </w:r>
      <w:r w:rsidRPr="00B907B6">
        <w:rPr>
          <w:rFonts w:ascii="Times New Roman" w:hAnsi="Times New Roman" w:cs="Times New Roman" w:hint="eastAsia"/>
          <w:b/>
          <w:color w:val="000000" w:themeColor="text1"/>
          <w:sz w:val="20"/>
          <w:szCs w:val="20"/>
        </w:rPr>
        <w:t xml:space="preserve"> to be </w:t>
      </w:r>
      <w:r w:rsidRPr="00B907B6">
        <w:rPr>
          <w:rFonts w:ascii="Times New Roman" w:hAnsi="Times New Roman" w:cs="Times New Roman"/>
          <w:b/>
          <w:color w:val="000000" w:themeColor="text1"/>
          <w:sz w:val="20"/>
          <w:szCs w:val="20"/>
        </w:rPr>
        <w:t>conveyed</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in the same DCI and transmitted on GC-PDCCH:</w:t>
      </w:r>
    </w:p>
    <w:p w14:paraId="54606173" w14:textId="77777777" w:rsidR="00764E53" w:rsidRPr="00B907B6" w:rsidRDefault="00764E53" w:rsidP="00764E53">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Time domain channel occupancy structure (e.g., SFI-index and COT/SFI duration/ending)</w:t>
      </w:r>
    </w:p>
    <w:p w14:paraId="10874B0D" w14:textId="77777777" w:rsidR="00764E53" w:rsidRPr="00B907B6" w:rsidRDefault="00764E53" w:rsidP="00764E53">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Frequency domain channel occupancy structure </w:t>
      </w:r>
      <w:r w:rsidRPr="00B907B6">
        <w:rPr>
          <w:rFonts w:ascii="Times New Roman" w:hAnsi="Times New Roman" w:cs="Times New Roman" w:hint="eastAsia"/>
          <w:b/>
          <w:color w:val="000000" w:themeColor="text1"/>
          <w:sz w:val="20"/>
          <w:szCs w:val="20"/>
        </w:rPr>
        <w:t>(</w:t>
      </w:r>
      <w:r w:rsidRPr="00B907B6">
        <w:rPr>
          <w:rFonts w:ascii="Times New Roman" w:hAnsi="Times New Roman" w:cs="Times New Roman"/>
          <w:b/>
          <w:color w:val="000000" w:themeColor="text1"/>
          <w:sz w:val="20"/>
          <w:szCs w:val="20"/>
        </w:rPr>
        <w:t>e.g., available subband/carrier information)</w:t>
      </w:r>
    </w:p>
    <w:p w14:paraId="3156F622" w14:textId="77777777" w:rsidR="00764E53" w:rsidRPr="00B907B6" w:rsidRDefault="00764E53" w:rsidP="00764E53">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PDCCH monitoring occasion indication</w:t>
      </w:r>
    </w:p>
    <w:p w14:paraId="702D49F8" w14:textId="77777777" w:rsidR="00764E53" w:rsidRPr="00B907B6" w:rsidRDefault="00764E53" w:rsidP="00764E53">
      <w:pPr>
        <w:pStyle w:val="a3"/>
        <w:numPr>
          <w:ilvl w:val="0"/>
          <w:numId w:val="21"/>
        </w:numPr>
        <w:snapToGrid w:val="0"/>
        <w:spacing w:line="280" w:lineRule="exact"/>
        <w:ind w:leftChars="0"/>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COT sharing </w:t>
      </w:r>
      <w:r>
        <w:rPr>
          <w:rFonts w:ascii="Times New Roman" w:hAnsi="Times New Roman" w:cs="Times New Roman"/>
          <w:b/>
          <w:color w:val="000000" w:themeColor="text1"/>
          <w:sz w:val="20"/>
          <w:szCs w:val="20"/>
        </w:rPr>
        <w:t>information</w:t>
      </w:r>
      <w:r w:rsidRPr="00B907B6">
        <w:rPr>
          <w:rFonts w:ascii="Times New Roman" w:hAnsi="Times New Roman" w:cs="Times New Roman"/>
          <w:b/>
          <w:color w:val="000000" w:themeColor="text1"/>
          <w:sz w:val="20"/>
          <w:szCs w:val="20"/>
        </w:rPr>
        <w:t xml:space="preserve"> for configured grant transmission</w:t>
      </w:r>
    </w:p>
    <w:p w14:paraId="6C78CC2A" w14:textId="77777777" w:rsidR="00764E53" w:rsidRDefault="00764E53" w:rsidP="00764E53">
      <w:pPr>
        <w:snapToGrid w:val="0"/>
        <w:spacing w:line="280" w:lineRule="exact"/>
        <w:rPr>
          <w:rFonts w:ascii="Times New Roman" w:hAnsi="Times New Roman" w:cs="Times New Roman"/>
          <w:b/>
          <w:color w:val="000000" w:themeColor="text1"/>
          <w:sz w:val="20"/>
          <w:szCs w:val="20"/>
        </w:rPr>
      </w:pPr>
    </w:p>
    <w:p w14:paraId="6D3812C9" w14:textId="77777777" w:rsidR="00764E53" w:rsidRPr="00B907B6" w:rsidRDefault="00764E53" w:rsidP="00764E53">
      <w:pPr>
        <w:snapToGrid w:val="0"/>
        <w:spacing w:line="280" w:lineRule="exact"/>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 xml:space="preserve">Proposal 2: A bitmap </w:t>
      </w:r>
      <w:r w:rsidRPr="00B907B6">
        <w:rPr>
          <w:rFonts w:ascii="Times New Roman" w:hAnsi="Times New Roman" w:cs="Times New Roman" w:hint="eastAsia"/>
          <w:b/>
          <w:color w:val="000000" w:themeColor="text1"/>
          <w:sz w:val="20"/>
          <w:szCs w:val="20"/>
        </w:rPr>
        <w:t xml:space="preserve">for </w:t>
      </w:r>
      <w:r w:rsidRPr="00B907B6">
        <w:rPr>
          <w:rFonts w:ascii="Times New Roman" w:hAnsi="Times New Roman" w:cs="Times New Roman"/>
          <w:b/>
          <w:color w:val="000000" w:themeColor="text1"/>
          <w:sz w:val="20"/>
          <w:szCs w:val="20"/>
        </w:rPr>
        <w:t>indicating available subband/carrier information can be provided per cell in DCI and transmitted on GC-PDCCH</w:t>
      </w:r>
      <w:r w:rsidRPr="00B907B6">
        <w:rPr>
          <w:rFonts w:ascii="Times New Roman" w:hAnsi="Times New Roman" w:cs="Times New Roman" w:hint="eastAsia"/>
          <w:b/>
          <w:color w:val="000000" w:themeColor="text1"/>
          <w:sz w:val="20"/>
          <w:szCs w:val="20"/>
        </w:rPr>
        <w:t xml:space="preserve"> </w:t>
      </w:r>
    </w:p>
    <w:p w14:paraId="1B35AA0C" w14:textId="77777777" w:rsidR="00764E53" w:rsidRPr="00B907B6" w:rsidRDefault="00764E53" w:rsidP="00764E53">
      <w:pPr>
        <w:pStyle w:val="a3"/>
        <w:numPr>
          <w:ilvl w:val="0"/>
          <w:numId w:val="37"/>
        </w:numPr>
        <w:snapToGrid w:val="0"/>
        <w:spacing w:line="280" w:lineRule="exact"/>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If more than one bits are provided for a cell, each bit represents whether the corresponding LBT subband</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in the corresponding carrier is available for downlink reception</w:t>
      </w:r>
    </w:p>
    <w:p w14:paraId="74C9601A" w14:textId="77777777" w:rsidR="00764E53" w:rsidRPr="00B907B6" w:rsidRDefault="00764E53" w:rsidP="00764E53">
      <w:pPr>
        <w:pStyle w:val="a3"/>
        <w:numPr>
          <w:ilvl w:val="0"/>
          <w:numId w:val="37"/>
        </w:numPr>
        <w:snapToGrid w:val="0"/>
        <w:spacing w:line="280" w:lineRule="exact"/>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If only one bit is provided for a cell, the bit represents whether the corresponding carrier is available for downlink reception</w:t>
      </w:r>
    </w:p>
    <w:p w14:paraId="03E5B17E" w14:textId="77777777" w:rsidR="00ED295E" w:rsidRDefault="00ED295E" w:rsidP="00206C5E">
      <w:pPr>
        <w:jc w:val="both"/>
        <w:rPr>
          <w:rFonts w:ascii="Times New Roman" w:hAnsi="Times New Roman" w:cs="Times New Roman"/>
          <w:b/>
          <w:sz w:val="22"/>
        </w:rPr>
      </w:pPr>
    </w:p>
    <w:p w14:paraId="10B9FD87" w14:textId="77777777" w:rsidR="00764E53" w:rsidRPr="00B907B6" w:rsidRDefault="00764E53" w:rsidP="00764E53">
      <w:pPr>
        <w:snapToGrid w:val="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3: Some control information, e.g., COT/SFI duration/ending indication</w:t>
      </w:r>
      <w:r w:rsidRPr="00B907B6">
        <w:rPr>
          <w:rFonts w:ascii="Times New Roman" w:hAnsi="Times New Roman" w:cs="Times New Roman" w:hint="eastAsia"/>
          <w:b/>
          <w:color w:val="000000" w:themeColor="text1"/>
          <w:sz w:val="20"/>
          <w:szCs w:val="20"/>
        </w:rPr>
        <w:t xml:space="preserve"> </w:t>
      </w:r>
      <w:r w:rsidRPr="00B907B6">
        <w:rPr>
          <w:rFonts w:ascii="Times New Roman" w:hAnsi="Times New Roman" w:cs="Times New Roman"/>
          <w:b/>
          <w:color w:val="000000" w:themeColor="text1"/>
          <w:sz w:val="20"/>
          <w:szCs w:val="20"/>
        </w:rPr>
        <w:t>and PDCCH monitoring occasion indication, should be considered to be subband-specific.</w:t>
      </w:r>
    </w:p>
    <w:p w14:paraId="4A3FF005" w14:textId="77777777" w:rsidR="00764E53" w:rsidRPr="00B907B6" w:rsidRDefault="00764E53" w:rsidP="00764E53">
      <w:pPr>
        <w:snapToGrid w:val="0"/>
        <w:spacing w:before="24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lastRenderedPageBreak/>
        <w:t xml:space="preserve">Proposal 4: </w:t>
      </w:r>
      <w:r w:rsidRPr="00B907B6">
        <w:rPr>
          <w:rFonts w:ascii="Times New Roman" w:hAnsi="Times New Roman" w:cs="Times New Roman" w:hint="eastAsia"/>
          <w:b/>
          <w:color w:val="000000" w:themeColor="text1"/>
          <w:sz w:val="20"/>
          <w:szCs w:val="20"/>
        </w:rPr>
        <w:t xml:space="preserve">To convey </w:t>
      </w:r>
      <w:r w:rsidRPr="00B907B6">
        <w:rPr>
          <w:rFonts w:ascii="Times New Roman" w:hAnsi="Times New Roman" w:cs="Times New Roman"/>
          <w:b/>
          <w:color w:val="000000" w:themeColor="text1"/>
          <w:sz w:val="20"/>
          <w:szCs w:val="20"/>
        </w:rPr>
        <w:t xml:space="preserve">subband-specific control information in group-common DCI, two </w:t>
      </w:r>
      <w:r>
        <w:rPr>
          <w:rFonts w:ascii="Times New Roman" w:hAnsi="Times New Roman" w:cs="Times New Roman"/>
          <w:b/>
          <w:color w:val="000000" w:themeColor="text1"/>
          <w:sz w:val="20"/>
          <w:szCs w:val="20"/>
        </w:rPr>
        <w:t xml:space="preserve">following </w:t>
      </w:r>
      <w:r w:rsidRPr="00B907B6">
        <w:rPr>
          <w:rFonts w:ascii="Times New Roman" w:hAnsi="Times New Roman" w:cs="Times New Roman"/>
          <w:b/>
          <w:color w:val="000000" w:themeColor="text1"/>
          <w:sz w:val="20"/>
          <w:szCs w:val="20"/>
        </w:rPr>
        <w:t>options can be considered:</w:t>
      </w:r>
    </w:p>
    <w:p w14:paraId="11E7D0B4" w14:textId="77777777" w:rsidR="00764E53" w:rsidRPr="00B907B6" w:rsidRDefault="00764E53" w:rsidP="00764E53">
      <w:pPr>
        <w:pStyle w:val="a3"/>
        <w:numPr>
          <w:ilvl w:val="0"/>
          <w:numId w:val="39"/>
        </w:numPr>
        <w:snapToGrid w:val="0"/>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Option 1: Subband-specific control information is provided per subband per cell</w:t>
      </w:r>
    </w:p>
    <w:p w14:paraId="053E378D" w14:textId="77777777" w:rsidR="00764E53" w:rsidRPr="00B907B6" w:rsidRDefault="00764E53" w:rsidP="00764E53">
      <w:pPr>
        <w:pStyle w:val="a3"/>
        <w:numPr>
          <w:ilvl w:val="0"/>
          <w:numId w:val="39"/>
        </w:numPr>
        <w:snapToGrid w:val="0"/>
        <w:ind w:leftChars="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Option 2: Subband-specific control information is provided for certain subband(s) per cell, where the certain subband(s) can be indicated by available subband/carrier information</w:t>
      </w:r>
    </w:p>
    <w:p w14:paraId="1534C82C" w14:textId="77777777" w:rsidR="00764E53" w:rsidRPr="00B907B6" w:rsidRDefault="00764E53" w:rsidP="00764E53">
      <w:pPr>
        <w:snapToGrid w:val="0"/>
        <w:spacing w:before="240" w:line="360" w:lineRule="auto"/>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5: NR-U CORESET configuration is confined within one LBT subband.</w:t>
      </w:r>
    </w:p>
    <w:p w14:paraId="24F00F09" w14:textId="77777777" w:rsidR="00764E53" w:rsidRPr="00B907B6" w:rsidRDefault="00764E53" w:rsidP="00764E53">
      <w:pPr>
        <w:snapToGrid w:val="0"/>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6: Increase the maximum number of CORESETs per BWP to 5 as agreed in MIMO agenda.</w:t>
      </w:r>
    </w:p>
    <w:p w14:paraId="287D97F3" w14:textId="77777777" w:rsidR="00764E53" w:rsidRPr="00B907B6" w:rsidRDefault="00764E53" w:rsidP="00764E53">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Further study how to reduce the implementation complexity</w:t>
      </w:r>
    </w:p>
    <w:p w14:paraId="753B0A49" w14:textId="77777777" w:rsidR="00764E53" w:rsidRPr="00B907B6" w:rsidRDefault="00764E53" w:rsidP="00764E53">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The requirements in PDCCH processing and decoding capabilities are not increased compared to NR Rel-15</w:t>
      </w:r>
    </w:p>
    <w:p w14:paraId="2D76F166" w14:textId="77777777" w:rsidR="00764E53" w:rsidRPr="00B907B6" w:rsidRDefault="00764E53" w:rsidP="00764E53">
      <w:pPr>
        <w:snapToGrid w:val="0"/>
        <w:spacing w:before="240" w:line="360" w:lineRule="auto"/>
        <w:rPr>
          <w:rFonts w:ascii="Times New Roman" w:hAnsi="Times New Roman" w:cs="Times New Roman"/>
          <w:b/>
          <w:color w:val="000000" w:themeColor="text1"/>
          <w:sz w:val="20"/>
          <w:szCs w:val="20"/>
        </w:rPr>
      </w:pPr>
      <w:r w:rsidRPr="00B907B6">
        <w:rPr>
          <w:rFonts w:ascii="Times New Roman" w:hAnsi="Times New Roman" w:cs="Times New Roman"/>
          <w:b/>
          <w:color w:val="000000" w:themeColor="text1"/>
          <w:sz w:val="20"/>
          <w:szCs w:val="20"/>
        </w:rPr>
        <w:t>Proposal 7: An NR-U PUCCH resource is confined within one LBT subband.</w:t>
      </w:r>
    </w:p>
    <w:p w14:paraId="44381174" w14:textId="77777777" w:rsidR="00764E53" w:rsidRDefault="00764E53" w:rsidP="00764E53">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8</w:t>
      </w:r>
      <w:r w:rsidRPr="00B907B6">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Frequency domain resource allocation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 can be configured/determined </w:t>
      </w:r>
      <w:r w:rsidRPr="007A29E5">
        <w:rPr>
          <w:rFonts w:ascii="Times New Roman" w:hAnsi="Times New Roman" w:cs="Times New Roman"/>
          <w:b/>
          <w:color w:val="000000" w:themeColor="text1"/>
          <w:sz w:val="20"/>
          <w:szCs w:val="20"/>
        </w:rPr>
        <w:t xml:space="preserve">as an intersection of the two </w:t>
      </w:r>
      <w:r>
        <w:rPr>
          <w:rFonts w:ascii="Times New Roman" w:hAnsi="Times New Roman" w:cs="Times New Roman"/>
          <w:b/>
          <w:color w:val="000000" w:themeColor="text1"/>
          <w:sz w:val="20"/>
          <w:szCs w:val="20"/>
        </w:rPr>
        <w:t xml:space="preserve">following </w:t>
      </w:r>
      <w:r w:rsidRPr="007A29E5">
        <w:rPr>
          <w:rFonts w:ascii="Times New Roman" w:hAnsi="Times New Roman" w:cs="Times New Roman"/>
          <w:b/>
          <w:color w:val="000000" w:themeColor="text1"/>
          <w:sz w:val="20"/>
          <w:szCs w:val="20"/>
        </w:rPr>
        <w:t>parts</w:t>
      </w:r>
      <w:r>
        <w:rPr>
          <w:rFonts w:ascii="Times New Roman" w:hAnsi="Times New Roman" w:cs="Times New Roman"/>
          <w:b/>
          <w:color w:val="000000" w:themeColor="text1"/>
          <w:sz w:val="20"/>
          <w:szCs w:val="20"/>
        </w:rPr>
        <w:t>:</w:t>
      </w:r>
    </w:p>
    <w:p w14:paraId="360257F9" w14:textId="77777777" w:rsidR="00764E53" w:rsidRDefault="00764E53" w:rsidP="00764E53">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sidRPr="007A29E5">
        <w:rPr>
          <w:rFonts w:ascii="Times New Roman" w:hAnsi="Times New Roman" w:cs="Times New Roman"/>
          <w:b/>
          <w:color w:val="000000" w:themeColor="text1"/>
          <w:sz w:val="20"/>
          <w:szCs w:val="20"/>
        </w:rPr>
        <w:t xml:space="preserve">Allocation of interlaces(s) by re-interpreting </w:t>
      </w:r>
      <w:r w:rsidRPr="007A29E5">
        <w:rPr>
          <w:rFonts w:ascii="Times New Roman" w:hAnsi="Times New Roman" w:cs="Times New Roman"/>
          <w:b/>
          <w:i/>
          <w:color w:val="000000" w:themeColor="text1"/>
          <w:sz w:val="20"/>
          <w:szCs w:val="20"/>
        </w:rPr>
        <w:t xml:space="preserve">startingPRB </w:t>
      </w:r>
      <w:r>
        <w:rPr>
          <w:rFonts w:ascii="Times New Roman" w:hAnsi="Times New Roman" w:cs="Times New Roman"/>
          <w:b/>
          <w:color w:val="000000" w:themeColor="text1"/>
          <w:sz w:val="20"/>
          <w:szCs w:val="20"/>
        </w:rPr>
        <w:t>for each</w:t>
      </w:r>
      <w:r w:rsidRPr="007A29E5">
        <w:rPr>
          <w:rFonts w:ascii="Times New Roman" w:hAnsi="Times New Roman" w:cs="Times New Roman"/>
          <w:b/>
          <w:color w:val="000000" w:themeColor="text1"/>
          <w:sz w:val="20"/>
          <w:szCs w:val="20"/>
        </w:rPr>
        <w:t xml:space="preserve"> PUCCH resource and</w:t>
      </w:r>
      <w:r w:rsidRPr="007A29E5">
        <w:rPr>
          <w:rFonts w:ascii="Times New Roman" w:hAnsi="Times New Roman" w:cs="Times New Roman"/>
          <w:b/>
          <w:i/>
          <w:color w:val="000000" w:themeColor="text1"/>
          <w:sz w:val="20"/>
          <w:szCs w:val="20"/>
        </w:rPr>
        <w:t xml:space="preserve"> nrofPRBs </w:t>
      </w:r>
      <w:r w:rsidRPr="007A29E5">
        <w:rPr>
          <w:rFonts w:ascii="Times New Roman" w:hAnsi="Times New Roman" w:cs="Times New Roman"/>
          <w:b/>
          <w:color w:val="000000" w:themeColor="text1"/>
          <w:sz w:val="20"/>
          <w:szCs w:val="20"/>
        </w:rPr>
        <w:t xml:space="preserve">configured </w:t>
      </w:r>
      <w:r>
        <w:rPr>
          <w:rFonts w:ascii="Times New Roman" w:hAnsi="Times New Roman" w:cs="Times New Roman"/>
          <w:b/>
          <w:color w:val="000000" w:themeColor="text1"/>
          <w:sz w:val="20"/>
          <w:szCs w:val="20"/>
        </w:rPr>
        <w:t>for each</w:t>
      </w:r>
      <w:r w:rsidRPr="007A29E5">
        <w:rPr>
          <w:rFonts w:ascii="Times New Roman" w:hAnsi="Times New Roman" w:cs="Times New Roman"/>
          <w:b/>
          <w:color w:val="000000" w:themeColor="text1"/>
          <w:sz w:val="20"/>
          <w:szCs w:val="20"/>
        </w:rPr>
        <w:t xml:space="preserve"> PUCCH format</w:t>
      </w:r>
    </w:p>
    <w:p w14:paraId="12F5B437" w14:textId="77777777" w:rsidR="00764E53" w:rsidRPr="007A29E5" w:rsidRDefault="00764E53" w:rsidP="00764E53">
      <w:pPr>
        <w:pStyle w:val="a3"/>
        <w:widowControl/>
        <w:numPr>
          <w:ilvl w:val="0"/>
          <w:numId w:val="43"/>
        </w:numPr>
        <w:spacing w:line="240" w:lineRule="exact"/>
        <w:ind w:leftChars="0" w:left="567" w:hanging="210"/>
        <w:contextualSpacing/>
        <w:jc w:val="both"/>
        <w:rPr>
          <w:rFonts w:ascii="Times New Roman" w:hAnsi="Times New Roman" w:cs="Times New Roman"/>
          <w:b/>
          <w:color w:val="000000" w:themeColor="text1"/>
          <w:sz w:val="20"/>
          <w:szCs w:val="20"/>
        </w:rPr>
      </w:pPr>
      <w:r>
        <w:rPr>
          <w:rFonts w:ascii="Times New Roman" w:hAnsi="Times New Roman" w:cs="Times New Roman" w:hint="eastAsia"/>
          <w:b/>
          <w:color w:val="000000" w:themeColor="text1"/>
          <w:sz w:val="20"/>
          <w:szCs w:val="20"/>
        </w:rPr>
        <w:t xml:space="preserve">Allocation of </w:t>
      </w:r>
      <w:r>
        <w:rPr>
          <w:rFonts w:ascii="Times New Roman" w:hAnsi="Times New Roman" w:cs="Times New Roman"/>
          <w:b/>
          <w:color w:val="000000" w:themeColor="text1"/>
          <w:sz w:val="20"/>
          <w:szCs w:val="20"/>
        </w:rPr>
        <w:t xml:space="preserve">a </w:t>
      </w:r>
      <w:r>
        <w:rPr>
          <w:rFonts w:ascii="Times New Roman" w:hAnsi="Times New Roman" w:cs="Times New Roman" w:hint="eastAsia"/>
          <w:b/>
          <w:color w:val="000000" w:themeColor="text1"/>
          <w:sz w:val="20"/>
          <w:szCs w:val="20"/>
        </w:rPr>
        <w:t>LBT subband</w:t>
      </w:r>
      <w:r>
        <w:rPr>
          <w:rFonts w:ascii="Times New Roman" w:hAnsi="Times New Roman" w:cs="Times New Roman"/>
          <w:b/>
          <w:color w:val="000000" w:themeColor="text1"/>
          <w:sz w:val="20"/>
          <w:szCs w:val="20"/>
        </w:rPr>
        <w:t xml:space="preserve"> by introducing a new field in a PUCCH resource configuration</w:t>
      </w:r>
      <w:r w:rsidRPr="007A29E5">
        <w:rPr>
          <w:rFonts w:ascii="Times New Roman" w:hAnsi="Times New Roman" w:cs="Times New Roman"/>
          <w:b/>
          <w:i/>
          <w:color w:val="000000" w:themeColor="text1"/>
          <w:sz w:val="20"/>
          <w:szCs w:val="20"/>
        </w:rPr>
        <w:t xml:space="preserve"> </w:t>
      </w:r>
    </w:p>
    <w:p w14:paraId="782FB4CB" w14:textId="77777777" w:rsidR="00764E53" w:rsidRDefault="00764E53" w:rsidP="00764E53">
      <w:pPr>
        <w:snapToGrid w:val="0"/>
        <w:spacing w:before="24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Proposal 9</w:t>
      </w:r>
      <w:r w:rsidRPr="00B907B6">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Allocation of more than one frequency domain candidate resources </w:t>
      </w:r>
      <w:r w:rsidRPr="00B03D54">
        <w:rPr>
          <w:rFonts w:ascii="Times New Roman" w:hAnsi="Times New Roman" w:cs="Times New Roman"/>
          <w:b/>
          <w:color w:val="000000" w:themeColor="text1"/>
          <w:sz w:val="20"/>
          <w:szCs w:val="20"/>
        </w:rPr>
        <w:t>distributed in different LBT subbands</w:t>
      </w:r>
      <w:r>
        <w:rPr>
          <w:rFonts w:ascii="Times New Roman" w:hAnsi="Times New Roman" w:cs="Times New Roman"/>
          <w:b/>
          <w:color w:val="000000" w:themeColor="text1"/>
          <w:sz w:val="20"/>
          <w:szCs w:val="20"/>
        </w:rPr>
        <w:t xml:space="preserve"> for a </w:t>
      </w:r>
      <w:r w:rsidRPr="00B907B6">
        <w:rPr>
          <w:rFonts w:ascii="Times New Roman" w:hAnsi="Times New Roman" w:cs="Times New Roman"/>
          <w:b/>
          <w:color w:val="000000" w:themeColor="text1"/>
          <w:sz w:val="20"/>
          <w:szCs w:val="20"/>
        </w:rPr>
        <w:t>PUCCH</w:t>
      </w:r>
      <w:r>
        <w:rPr>
          <w:rFonts w:ascii="Times New Roman" w:hAnsi="Times New Roman" w:cs="Times New Roman"/>
          <w:b/>
          <w:color w:val="000000" w:themeColor="text1"/>
          <w:sz w:val="20"/>
          <w:szCs w:val="20"/>
        </w:rPr>
        <w:t xml:space="preserve"> transmission</w:t>
      </w:r>
      <w:r w:rsidRPr="00B03D54">
        <w:rPr>
          <w:rFonts w:ascii="Times New Roman" w:hAnsi="Times New Roman" w:cs="Times New Roman"/>
          <w:b/>
          <w:color w:val="000000" w:themeColor="text1"/>
          <w:sz w:val="20"/>
          <w:szCs w:val="20"/>
        </w:rPr>
        <w:t xml:space="preserve"> should be supported in NR-U</w:t>
      </w:r>
      <w:r>
        <w:rPr>
          <w:rFonts w:ascii="Times New Roman" w:hAnsi="Times New Roman" w:cs="Times New Roman"/>
          <w:b/>
          <w:color w:val="000000" w:themeColor="text1"/>
          <w:sz w:val="20"/>
          <w:szCs w:val="20"/>
        </w:rPr>
        <w:t>.</w:t>
      </w:r>
    </w:p>
    <w:p w14:paraId="37D81C9D" w14:textId="77777777" w:rsidR="00764E53" w:rsidRPr="00D02D1F" w:rsidRDefault="00764E53" w:rsidP="00764E53">
      <w:pPr>
        <w:snapToGrid w:val="0"/>
        <w:spacing w:before="240"/>
        <w:rPr>
          <w:rFonts w:ascii="Times New Roman" w:hAnsi="Times New Roman" w:cs="Times New Roman"/>
          <w:b/>
          <w:color w:val="000000" w:themeColor="text1"/>
          <w:sz w:val="20"/>
          <w:szCs w:val="20"/>
        </w:rPr>
      </w:pPr>
      <w:r w:rsidRPr="00D02D1F">
        <w:rPr>
          <w:rFonts w:ascii="Times New Roman" w:hAnsi="Times New Roman" w:cs="Times New Roman"/>
          <w:b/>
          <w:color w:val="000000" w:themeColor="text1"/>
          <w:sz w:val="20"/>
          <w:szCs w:val="20"/>
        </w:rPr>
        <w:t>Proposal 1</w:t>
      </w:r>
      <w:r>
        <w:rPr>
          <w:rFonts w:ascii="Times New Roman" w:hAnsi="Times New Roman" w:cs="Times New Roman"/>
          <w:b/>
          <w:color w:val="000000" w:themeColor="text1"/>
          <w:sz w:val="20"/>
          <w:szCs w:val="20"/>
        </w:rPr>
        <w:t>0</w:t>
      </w:r>
      <w:r w:rsidRPr="00D02D1F">
        <w:rPr>
          <w:rFonts w:ascii="Times New Roman" w:hAnsi="Times New Roman" w:cs="Times New Roman"/>
          <w:b/>
          <w:color w:val="000000" w:themeColor="text1"/>
          <w:sz w:val="20"/>
          <w:szCs w:val="20"/>
        </w:rPr>
        <w:t>: For uplink wideband operation, Alt 2 is not considered for Rel-16.</w:t>
      </w:r>
    </w:p>
    <w:p w14:paraId="482CC288" w14:textId="77777777" w:rsidR="00764E53" w:rsidRDefault="00764E53" w:rsidP="00206C5E">
      <w:pPr>
        <w:jc w:val="both"/>
        <w:rPr>
          <w:rFonts w:ascii="Times New Roman" w:hAnsi="Times New Roman" w:cs="Times New Roman"/>
          <w:b/>
          <w:sz w:val="22"/>
        </w:rPr>
      </w:pPr>
    </w:p>
    <w:p w14:paraId="4B1EAD28" w14:textId="77777777" w:rsidR="00206C5E" w:rsidRPr="002E6C47" w:rsidRDefault="003D6EDB" w:rsidP="00206C5E">
      <w:pPr>
        <w:jc w:val="both"/>
        <w:rPr>
          <w:rFonts w:ascii="Times New Roman" w:hAnsi="Times New Roman" w:cs="Times New Roman"/>
          <w:sz w:val="20"/>
          <w:szCs w:val="20"/>
        </w:rPr>
      </w:pPr>
      <w:r>
        <w:rPr>
          <w:rFonts w:ascii="Times New Roman" w:hAnsi="Times New Roman" w:cs="Times New Roman"/>
        </w:rPr>
        <w:pict w14:anchorId="4B1EAD39">
          <v:rect id="_x0000_i1028" style="width:415.3pt;height:1pt" o:hralign="center" o:hrstd="t" o:hrnoshade="t" o:hr="t" fillcolor="black [3213]" stroked="f"/>
        </w:pict>
      </w:r>
    </w:p>
    <w:p w14:paraId="4B1EAD29" w14:textId="77777777" w:rsidR="00D07E75" w:rsidRPr="00B907B6" w:rsidRDefault="00206C5E" w:rsidP="00B61CEA">
      <w:pPr>
        <w:pStyle w:val="a3"/>
        <w:numPr>
          <w:ilvl w:val="0"/>
          <w:numId w:val="5"/>
        </w:numPr>
        <w:spacing w:after="240"/>
        <w:ind w:leftChars="0"/>
        <w:outlineLvl w:val="0"/>
        <w:rPr>
          <w:rFonts w:ascii="Arial" w:hAnsi="Arial" w:cs="Arial"/>
          <w:b/>
          <w:szCs w:val="24"/>
        </w:rPr>
      </w:pPr>
      <w:r w:rsidRPr="00B907B6">
        <w:rPr>
          <w:rFonts w:ascii="Arial" w:hAnsi="Arial" w:cs="Arial"/>
          <w:b/>
          <w:szCs w:val="24"/>
        </w:rPr>
        <w:t>References</w:t>
      </w:r>
      <w:bookmarkStart w:id="2" w:name="_Ref494442004"/>
      <w:bookmarkStart w:id="3" w:name="_Ref498453616"/>
      <w:bookmarkStart w:id="4" w:name="_Ref481596356"/>
      <w:bookmarkStart w:id="5" w:name="_Ref481781528"/>
      <w:bookmarkStart w:id="6" w:name="_Ref481782557"/>
    </w:p>
    <w:p w14:paraId="2A241ADE" w14:textId="6A7B65AB" w:rsidR="00B17538" w:rsidRPr="00B907B6" w:rsidRDefault="00B17538" w:rsidP="00B17538">
      <w:pPr>
        <w:widowControl/>
        <w:numPr>
          <w:ilvl w:val="0"/>
          <w:numId w:val="7"/>
        </w:numPr>
        <w:spacing w:afterLines="50" w:after="180" w:line="240" w:lineRule="exact"/>
        <w:rPr>
          <w:rFonts w:ascii="Times New Roman" w:eastAsia="Batang" w:hAnsi="Times New Roman" w:cs="Times New Roman"/>
          <w:bCs/>
          <w:sz w:val="20"/>
          <w:szCs w:val="20"/>
          <w:lang w:eastAsia="ko-KR"/>
        </w:rPr>
      </w:pPr>
      <w:bookmarkStart w:id="7" w:name="_Ref528832966"/>
      <w:bookmarkEnd w:id="2"/>
      <w:bookmarkEnd w:id="3"/>
      <w:r w:rsidRPr="00B907B6">
        <w:rPr>
          <w:rFonts w:ascii="Times New Roman" w:eastAsia="Batang" w:hAnsi="Times New Roman" w:cs="Times New Roman"/>
          <w:bCs/>
          <w:sz w:val="20"/>
          <w:szCs w:val="20"/>
          <w:lang w:eastAsia="ko-KR"/>
        </w:rPr>
        <w:t xml:space="preserve">3GPP RAN1 </w:t>
      </w:r>
      <w:r w:rsidR="00ED295E" w:rsidRPr="00B907B6">
        <w:rPr>
          <w:rFonts w:ascii="Times New Roman" w:eastAsia="Batang" w:hAnsi="Times New Roman" w:cs="Times New Roman"/>
          <w:bCs/>
          <w:sz w:val="20"/>
          <w:szCs w:val="20"/>
          <w:lang w:eastAsia="ko-KR"/>
        </w:rPr>
        <w:t>#94bis</w:t>
      </w:r>
      <w:r w:rsidRPr="00B907B6">
        <w:rPr>
          <w:rFonts w:ascii="Times New Roman" w:eastAsia="Batang" w:hAnsi="Times New Roman" w:cs="Times New Roman"/>
          <w:bCs/>
          <w:sz w:val="20"/>
          <w:szCs w:val="20"/>
          <w:lang w:eastAsia="ko-KR"/>
        </w:rPr>
        <w:t xml:space="preserve">, “Chairman’s Notes RAN1 </w:t>
      </w:r>
      <w:r w:rsidR="00ED295E" w:rsidRPr="00B907B6">
        <w:rPr>
          <w:rFonts w:ascii="Times New Roman" w:eastAsia="Batang" w:hAnsi="Times New Roman" w:cs="Times New Roman"/>
          <w:bCs/>
          <w:sz w:val="20"/>
          <w:szCs w:val="20"/>
          <w:lang w:eastAsia="ko-KR"/>
        </w:rPr>
        <w:t>#94bis</w:t>
      </w:r>
      <w:r w:rsidRPr="00B907B6">
        <w:rPr>
          <w:rFonts w:ascii="Times New Roman" w:eastAsia="Batang" w:hAnsi="Times New Roman" w:cs="Times New Roman"/>
          <w:bCs/>
          <w:sz w:val="20"/>
          <w:szCs w:val="20"/>
          <w:lang w:eastAsia="ko-KR"/>
        </w:rPr>
        <w:t xml:space="preserve">”, </w:t>
      </w:r>
      <w:r w:rsidR="00ED295E" w:rsidRPr="00B907B6">
        <w:rPr>
          <w:rFonts w:ascii="Times New Roman" w:eastAsia="Batang" w:hAnsi="Times New Roman" w:cs="Times New Roman"/>
          <w:bCs/>
          <w:sz w:val="20"/>
          <w:szCs w:val="20"/>
          <w:lang w:eastAsia="ko-KR"/>
        </w:rPr>
        <w:t>Chengdu</w:t>
      </w:r>
      <w:r w:rsidRPr="00B907B6">
        <w:rPr>
          <w:rFonts w:ascii="Times New Roman" w:eastAsia="Batang" w:hAnsi="Times New Roman" w:cs="Times New Roman"/>
          <w:bCs/>
          <w:sz w:val="20"/>
          <w:szCs w:val="20"/>
          <w:lang w:eastAsia="ko-KR"/>
        </w:rPr>
        <w:t xml:space="preserve">, China, </w:t>
      </w:r>
      <w:r w:rsidR="00ED295E" w:rsidRPr="00B907B6">
        <w:rPr>
          <w:rFonts w:ascii="Times New Roman" w:eastAsia="Batang" w:hAnsi="Times New Roman" w:cs="Times New Roman"/>
          <w:bCs/>
          <w:sz w:val="20"/>
          <w:szCs w:val="20"/>
          <w:lang w:eastAsia="ko-KR"/>
        </w:rPr>
        <w:t>October 2018</w:t>
      </w:r>
      <w:r w:rsidRPr="00B907B6">
        <w:rPr>
          <w:rFonts w:ascii="Times New Roman" w:eastAsia="Batang" w:hAnsi="Times New Roman" w:cs="Times New Roman"/>
          <w:bCs/>
          <w:sz w:val="20"/>
          <w:szCs w:val="20"/>
          <w:lang w:eastAsia="ko-KR"/>
        </w:rPr>
        <w:t>.</w:t>
      </w:r>
    </w:p>
    <w:p w14:paraId="034573A6" w14:textId="727D86EC" w:rsidR="00ED295E" w:rsidRDefault="0017604A" w:rsidP="00ED295E">
      <w:pPr>
        <w:widowControl/>
        <w:numPr>
          <w:ilvl w:val="0"/>
          <w:numId w:val="7"/>
        </w:numPr>
        <w:spacing w:afterLines="50" w:after="180" w:line="240" w:lineRule="exact"/>
        <w:rPr>
          <w:rFonts w:ascii="Times New Roman" w:eastAsia="Batang" w:hAnsi="Times New Roman" w:cs="Times New Roman"/>
          <w:bCs/>
          <w:sz w:val="20"/>
          <w:szCs w:val="20"/>
          <w:lang w:eastAsia="ko-KR"/>
        </w:rPr>
      </w:pPr>
      <w:r w:rsidRPr="00B907B6">
        <w:rPr>
          <w:rFonts w:ascii="Times New Roman" w:eastAsia="Batang" w:hAnsi="Times New Roman" w:cs="Times New Roman"/>
          <w:bCs/>
          <w:sz w:val="20"/>
          <w:szCs w:val="20"/>
          <w:lang w:eastAsia="ko-KR"/>
        </w:rPr>
        <w:t xml:space="preserve">3GPP RAN1 #97, “Chairman’s Notes RAN1 #97”, </w:t>
      </w:r>
      <w:r w:rsidR="00152131" w:rsidRPr="00B907B6">
        <w:rPr>
          <w:rFonts w:ascii="Times New Roman" w:eastAsia="Batang" w:hAnsi="Times New Roman" w:cs="Times New Roman"/>
          <w:bCs/>
          <w:sz w:val="20"/>
          <w:szCs w:val="20"/>
          <w:lang w:eastAsia="ko-KR"/>
        </w:rPr>
        <w:t>Reno, USA</w:t>
      </w:r>
      <w:r w:rsidRPr="00B907B6">
        <w:rPr>
          <w:rFonts w:ascii="Times New Roman" w:eastAsia="Batang" w:hAnsi="Times New Roman" w:cs="Times New Roman"/>
          <w:bCs/>
          <w:sz w:val="20"/>
          <w:szCs w:val="20"/>
          <w:lang w:eastAsia="ko-KR"/>
        </w:rPr>
        <w:t xml:space="preserve">, </w:t>
      </w:r>
      <w:r w:rsidR="00152131" w:rsidRPr="00B907B6">
        <w:rPr>
          <w:rFonts w:ascii="Times New Roman" w:eastAsia="Batang" w:hAnsi="Times New Roman" w:cs="Times New Roman"/>
          <w:bCs/>
          <w:sz w:val="20"/>
          <w:szCs w:val="20"/>
          <w:lang w:eastAsia="ko-KR"/>
        </w:rPr>
        <w:t>May</w:t>
      </w:r>
      <w:r w:rsidRPr="00B907B6">
        <w:rPr>
          <w:rFonts w:ascii="Times New Roman" w:eastAsia="Batang" w:hAnsi="Times New Roman" w:cs="Times New Roman"/>
          <w:bCs/>
          <w:sz w:val="20"/>
          <w:szCs w:val="20"/>
          <w:lang w:eastAsia="ko-KR"/>
        </w:rPr>
        <w:t xml:space="preserve"> 2019.</w:t>
      </w:r>
      <w:bookmarkEnd w:id="4"/>
      <w:bookmarkEnd w:id="5"/>
      <w:bookmarkEnd w:id="6"/>
      <w:bookmarkEnd w:id="7"/>
    </w:p>
    <w:p w14:paraId="0E5C3C73" w14:textId="5B8788AA" w:rsidR="009955AD" w:rsidRPr="009955AD" w:rsidRDefault="009955AD" w:rsidP="009955AD">
      <w:pPr>
        <w:widowControl/>
        <w:numPr>
          <w:ilvl w:val="0"/>
          <w:numId w:val="7"/>
        </w:numPr>
        <w:spacing w:afterLines="50" w:after="180" w:line="240" w:lineRule="exact"/>
        <w:rPr>
          <w:rFonts w:ascii="Times New Roman" w:eastAsia="Batang" w:hAnsi="Times New Roman" w:cs="Times New Roman"/>
          <w:bCs/>
          <w:sz w:val="20"/>
          <w:szCs w:val="20"/>
          <w:lang w:eastAsia="ko-KR"/>
        </w:rPr>
      </w:pPr>
      <w:r w:rsidRPr="009955AD">
        <w:rPr>
          <w:rFonts w:ascii="Times New Roman" w:eastAsia="Batang" w:hAnsi="Times New Roman" w:cs="Times New Roman"/>
          <w:bCs/>
          <w:sz w:val="20"/>
          <w:szCs w:val="20"/>
          <w:lang w:eastAsia="ko-KR"/>
        </w:rPr>
        <w:t>3GPP RAN1 #96bis, “Chairman’s Notes RAN1 #96bis”, Xi’an, China, April 2019.</w:t>
      </w:r>
    </w:p>
    <w:sectPr w:rsidR="009955AD" w:rsidRPr="009955AD" w:rsidSect="00C979F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EAD3C" w14:textId="77777777" w:rsidR="008F6292" w:rsidRDefault="008F6292" w:rsidP="00B56805">
      <w:r>
        <w:separator/>
      </w:r>
    </w:p>
  </w:endnote>
  <w:endnote w:type="continuationSeparator" w:id="0">
    <w:p w14:paraId="4B1EAD3D" w14:textId="77777777" w:rsidR="008F6292" w:rsidRDefault="008F6292" w:rsidP="00B5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EAD3A" w14:textId="77777777" w:rsidR="008F6292" w:rsidRDefault="008F6292" w:rsidP="00B56805">
      <w:r>
        <w:separator/>
      </w:r>
    </w:p>
  </w:footnote>
  <w:footnote w:type="continuationSeparator" w:id="0">
    <w:p w14:paraId="4B1EAD3B" w14:textId="77777777" w:rsidR="008F6292" w:rsidRDefault="008F6292" w:rsidP="00B568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6E076C4"/>
    <w:lvl w:ilvl="0">
      <w:start w:val="1"/>
      <w:numFmt w:val="bullet"/>
      <w:pStyle w:val="5"/>
      <w:lvlText w:val=""/>
      <w:lvlJc w:val="left"/>
      <w:pPr>
        <w:tabs>
          <w:tab w:val="num" w:pos="1800"/>
        </w:tabs>
        <w:ind w:left="1800" w:hanging="360"/>
      </w:pPr>
      <w:rPr>
        <w:rFonts w:ascii="Symbol" w:hAnsi="Symbol"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037320"/>
    <w:multiLevelType w:val="hybridMultilevel"/>
    <w:tmpl w:val="D18EB0D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886A4B"/>
    <w:multiLevelType w:val="hybridMultilevel"/>
    <w:tmpl w:val="C5EA3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967EA"/>
    <w:multiLevelType w:val="hybridMultilevel"/>
    <w:tmpl w:val="AB4625FC"/>
    <w:lvl w:ilvl="0" w:tplc="38FA5790">
      <w:start w:val="1"/>
      <w:numFmt w:val="decimal"/>
      <w:lvlText w:val="Option %1."/>
      <w:lvlJc w:val="left"/>
      <w:pPr>
        <w:ind w:left="1440" w:hanging="480"/>
      </w:pPr>
      <w:rPr>
        <w:rFonts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8" w15:restartNumberingAfterBreak="0">
    <w:nsid w:val="10D201C4"/>
    <w:multiLevelType w:val="hybridMultilevel"/>
    <w:tmpl w:val="D16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A3BFB"/>
    <w:multiLevelType w:val="hybridMultilevel"/>
    <w:tmpl w:val="7F0A20EA"/>
    <w:lvl w:ilvl="0" w:tplc="0BA41132">
      <w:start w:val="1"/>
      <w:numFmt w:val="bullet"/>
      <w:lvlText w:val="▪"/>
      <w:lvlJc w:val="left"/>
      <w:pPr>
        <w:tabs>
          <w:tab w:val="num" w:pos="720"/>
        </w:tabs>
        <w:ind w:left="720" w:hanging="360"/>
      </w:pPr>
      <w:rPr>
        <w:rFonts w:ascii="Lucida Grande" w:hAnsi="Lucida Grande" w:hint="default"/>
      </w:rPr>
    </w:lvl>
    <w:lvl w:ilvl="1" w:tplc="2C40F854">
      <w:start w:val="1"/>
      <w:numFmt w:val="bullet"/>
      <w:lvlText w:val="▪"/>
      <w:lvlJc w:val="left"/>
      <w:pPr>
        <w:tabs>
          <w:tab w:val="num" w:pos="1440"/>
        </w:tabs>
        <w:ind w:left="1440" w:hanging="360"/>
      </w:pPr>
      <w:rPr>
        <w:rFonts w:ascii="Lucida Grande" w:hAnsi="Lucida Grande" w:hint="default"/>
      </w:rPr>
    </w:lvl>
    <w:lvl w:ilvl="2" w:tplc="7A709A42">
      <w:numFmt w:val="bullet"/>
      <w:lvlText w:val="▪"/>
      <w:lvlJc w:val="left"/>
      <w:pPr>
        <w:tabs>
          <w:tab w:val="num" w:pos="2160"/>
        </w:tabs>
        <w:ind w:left="2160" w:hanging="360"/>
      </w:pPr>
      <w:rPr>
        <w:rFonts w:ascii="Lucida Grande" w:hAnsi="Lucida Grande" w:hint="default"/>
      </w:rPr>
    </w:lvl>
    <w:lvl w:ilvl="3" w:tplc="4950EFCE" w:tentative="1">
      <w:start w:val="1"/>
      <w:numFmt w:val="bullet"/>
      <w:lvlText w:val="▪"/>
      <w:lvlJc w:val="left"/>
      <w:pPr>
        <w:tabs>
          <w:tab w:val="num" w:pos="2880"/>
        </w:tabs>
        <w:ind w:left="2880" w:hanging="360"/>
      </w:pPr>
      <w:rPr>
        <w:rFonts w:ascii="Lucida Grande" w:hAnsi="Lucida Grande" w:hint="default"/>
      </w:rPr>
    </w:lvl>
    <w:lvl w:ilvl="4" w:tplc="522CF2F0" w:tentative="1">
      <w:start w:val="1"/>
      <w:numFmt w:val="bullet"/>
      <w:lvlText w:val="▪"/>
      <w:lvlJc w:val="left"/>
      <w:pPr>
        <w:tabs>
          <w:tab w:val="num" w:pos="3600"/>
        </w:tabs>
        <w:ind w:left="3600" w:hanging="360"/>
      </w:pPr>
      <w:rPr>
        <w:rFonts w:ascii="Lucida Grande" w:hAnsi="Lucida Grande" w:hint="default"/>
      </w:rPr>
    </w:lvl>
    <w:lvl w:ilvl="5" w:tplc="92D21716" w:tentative="1">
      <w:start w:val="1"/>
      <w:numFmt w:val="bullet"/>
      <w:lvlText w:val="▪"/>
      <w:lvlJc w:val="left"/>
      <w:pPr>
        <w:tabs>
          <w:tab w:val="num" w:pos="4320"/>
        </w:tabs>
        <w:ind w:left="4320" w:hanging="360"/>
      </w:pPr>
      <w:rPr>
        <w:rFonts w:ascii="Lucida Grande" w:hAnsi="Lucida Grande" w:hint="default"/>
      </w:rPr>
    </w:lvl>
    <w:lvl w:ilvl="6" w:tplc="1084DADA" w:tentative="1">
      <w:start w:val="1"/>
      <w:numFmt w:val="bullet"/>
      <w:lvlText w:val="▪"/>
      <w:lvlJc w:val="left"/>
      <w:pPr>
        <w:tabs>
          <w:tab w:val="num" w:pos="5040"/>
        </w:tabs>
        <w:ind w:left="5040" w:hanging="360"/>
      </w:pPr>
      <w:rPr>
        <w:rFonts w:ascii="Lucida Grande" w:hAnsi="Lucida Grande" w:hint="default"/>
      </w:rPr>
    </w:lvl>
    <w:lvl w:ilvl="7" w:tplc="5C14F18C" w:tentative="1">
      <w:start w:val="1"/>
      <w:numFmt w:val="bullet"/>
      <w:lvlText w:val="▪"/>
      <w:lvlJc w:val="left"/>
      <w:pPr>
        <w:tabs>
          <w:tab w:val="num" w:pos="5760"/>
        </w:tabs>
        <w:ind w:left="5760" w:hanging="360"/>
      </w:pPr>
      <w:rPr>
        <w:rFonts w:ascii="Lucida Grande" w:hAnsi="Lucida Grande" w:hint="default"/>
      </w:rPr>
    </w:lvl>
    <w:lvl w:ilvl="8" w:tplc="22987A8A"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17210FB4"/>
    <w:multiLevelType w:val="hybridMultilevel"/>
    <w:tmpl w:val="1644AA98"/>
    <w:lvl w:ilvl="0" w:tplc="2CD077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0C7BE5"/>
    <w:multiLevelType w:val="hybridMultilevel"/>
    <w:tmpl w:val="AFDE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E56F5"/>
    <w:multiLevelType w:val="hybridMultilevel"/>
    <w:tmpl w:val="A7AA9A78"/>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5C95B3A"/>
    <w:multiLevelType w:val="hybridMultilevel"/>
    <w:tmpl w:val="BE7EA2BC"/>
    <w:lvl w:ilvl="0" w:tplc="AA5C065E">
      <w:start w:val="2"/>
      <w:numFmt w:val="decimal"/>
      <w:lvlText w:val="%1"/>
      <w:lvlJc w:val="left"/>
      <w:pPr>
        <w:ind w:left="360" w:hanging="360"/>
      </w:pPr>
      <w:rPr>
        <w:rFonts w:hint="default"/>
        <w:b/>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26C69"/>
    <w:multiLevelType w:val="hybridMultilevel"/>
    <w:tmpl w:val="79644CEA"/>
    <w:lvl w:ilvl="0" w:tplc="3CE467D0">
      <w:start w:val="1"/>
      <w:numFmt w:val="bullet"/>
      <w:lvlText w:val="•"/>
      <w:lvlJc w:val="left"/>
      <w:pPr>
        <w:tabs>
          <w:tab w:val="num" w:pos="360"/>
        </w:tabs>
        <w:ind w:left="360" w:hanging="360"/>
      </w:pPr>
      <w:rPr>
        <w:rFonts w:ascii="Arial" w:hAnsi="Arial" w:hint="default"/>
      </w:rPr>
    </w:lvl>
    <w:lvl w:ilvl="1" w:tplc="2E7A748A">
      <w:start w:val="1"/>
      <w:numFmt w:val="bullet"/>
      <w:lvlText w:val="•"/>
      <w:lvlJc w:val="left"/>
      <w:pPr>
        <w:tabs>
          <w:tab w:val="num" w:pos="1080"/>
        </w:tabs>
        <w:ind w:left="1080" w:hanging="360"/>
      </w:pPr>
      <w:rPr>
        <w:rFonts w:ascii="Arial" w:hAnsi="Arial" w:hint="default"/>
      </w:rPr>
    </w:lvl>
    <w:lvl w:ilvl="2" w:tplc="350C5F2A">
      <w:start w:val="50"/>
      <w:numFmt w:val="bullet"/>
      <w:lvlText w:val="▪"/>
      <w:lvlJc w:val="left"/>
      <w:pPr>
        <w:tabs>
          <w:tab w:val="num" w:pos="1800"/>
        </w:tabs>
        <w:ind w:left="1800" w:hanging="360"/>
      </w:pPr>
      <w:rPr>
        <w:rFonts w:ascii="Lucida Grande" w:hAnsi="Lucida Grande" w:hint="default"/>
      </w:rPr>
    </w:lvl>
    <w:lvl w:ilvl="3" w:tplc="6882B15E">
      <w:start w:val="50"/>
      <w:numFmt w:val="bullet"/>
      <w:lvlText w:val="•"/>
      <w:lvlJc w:val="left"/>
      <w:pPr>
        <w:tabs>
          <w:tab w:val="num" w:pos="2520"/>
        </w:tabs>
        <w:ind w:left="2520" w:hanging="360"/>
      </w:pPr>
      <w:rPr>
        <w:rFonts w:ascii="Arial" w:hAnsi="Arial" w:hint="default"/>
      </w:rPr>
    </w:lvl>
    <w:lvl w:ilvl="4" w:tplc="F4C84504" w:tentative="1">
      <w:start w:val="1"/>
      <w:numFmt w:val="bullet"/>
      <w:lvlText w:val="•"/>
      <w:lvlJc w:val="left"/>
      <w:pPr>
        <w:tabs>
          <w:tab w:val="num" w:pos="3240"/>
        </w:tabs>
        <w:ind w:left="3240" w:hanging="360"/>
      </w:pPr>
      <w:rPr>
        <w:rFonts w:ascii="Arial" w:hAnsi="Arial" w:hint="default"/>
      </w:rPr>
    </w:lvl>
    <w:lvl w:ilvl="5" w:tplc="FFBA2A3C" w:tentative="1">
      <w:start w:val="1"/>
      <w:numFmt w:val="bullet"/>
      <w:lvlText w:val="•"/>
      <w:lvlJc w:val="left"/>
      <w:pPr>
        <w:tabs>
          <w:tab w:val="num" w:pos="3960"/>
        </w:tabs>
        <w:ind w:left="3960" w:hanging="360"/>
      </w:pPr>
      <w:rPr>
        <w:rFonts w:ascii="Arial" w:hAnsi="Arial" w:hint="default"/>
      </w:rPr>
    </w:lvl>
    <w:lvl w:ilvl="6" w:tplc="C94608A6" w:tentative="1">
      <w:start w:val="1"/>
      <w:numFmt w:val="bullet"/>
      <w:lvlText w:val="•"/>
      <w:lvlJc w:val="left"/>
      <w:pPr>
        <w:tabs>
          <w:tab w:val="num" w:pos="4680"/>
        </w:tabs>
        <w:ind w:left="4680" w:hanging="360"/>
      </w:pPr>
      <w:rPr>
        <w:rFonts w:ascii="Arial" w:hAnsi="Arial" w:hint="default"/>
      </w:rPr>
    </w:lvl>
    <w:lvl w:ilvl="7" w:tplc="23E2098E" w:tentative="1">
      <w:start w:val="1"/>
      <w:numFmt w:val="bullet"/>
      <w:lvlText w:val="•"/>
      <w:lvlJc w:val="left"/>
      <w:pPr>
        <w:tabs>
          <w:tab w:val="num" w:pos="5400"/>
        </w:tabs>
        <w:ind w:left="5400" w:hanging="360"/>
      </w:pPr>
      <w:rPr>
        <w:rFonts w:ascii="Arial" w:hAnsi="Arial" w:hint="default"/>
      </w:rPr>
    </w:lvl>
    <w:lvl w:ilvl="8" w:tplc="04B6303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487194"/>
    <w:multiLevelType w:val="hybridMultilevel"/>
    <w:tmpl w:val="2A02D498"/>
    <w:lvl w:ilvl="0" w:tplc="2BC0DF16">
      <w:start w:val="1"/>
      <w:numFmt w:val="bullet"/>
      <w:lvlText w:val="-"/>
      <w:lvlJc w:val="left"/>
      <w:pPr>
        <w:ind w:left="1560" w:hanging="480"/>
      </w:pPr>
      <w:rPr>
        <w:rFonts w:ascii="Times New Roman" w:hAnsi="Times New Roman" w:cs="Times New Roman" w:hint="default"/>
        <w:lang w:val="en-US"/>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8" w15:restartNumberingAfterBreak="0">
    <w:nsid w:val="2F2F4B2F"/>
    <w:multiLevelType w:val="hybridMultilevel"/>
    <w:tmpl w:val="D082C3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4B1863"/>
    <w:multiLevelType w:val="multilevel"/>
    <w:tmpl w:val="A82C1ABA"/>
    <w:lvl w:ilvl="0">
      <w:start w:val="1"/>
      <w:numFmt w:val="decimal"/>
      <w:lvlText w:val="%1."/>
      <w:lvlJc w:val="left"/>
      <w:pPr>
        <w:ind w:left="360" w:hanging="360"/>
      </w:pPr>
      <w:rPr>
        <w:rFonts w:hint="default"/>
        <w:b/>
        <w:sz w:val="28"/>
      </w:rPr>
    </w:lvl>
    <w:lvl w:ilvl="1">
      <w:start w:val="1"/>
      <w:numFmt w:val="decimal"/>
      <w:isLgl/>
      <w:lvlText w:val="%1.%2"/>
      <w:lvlJc w:val="left"/>
      <w:pPr>
        <w:ind w:left="375" w:hanging="375"/>
      </w:pPr>
      <w:rPr>
        <w:rFonts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30D47105"/>
    <w:multiLevelType w:val="hybridMultilevel"/>
    <w:tmpl w:val="23F8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F44C02"/>
    <w:multiLevelType w:val="hybridMultilevel"/>
    <w:tmpl w:val="61D25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B00FD"/>
    <w:multiLevelType w:val="hybridMultilevel"/>
    <w:tmpl w:val="26922730"/>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7BB31DC"/>
    <w:multiLevelType w:val="hybridMultilevel"/>
    <w:tmpl w:val="27E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72421"/>
    <w:multiLevelType w:val="hybridMultilevel"/>
    <w:tmpl w:val="76C2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055AA"/>
    <w:multiLevelType w:val="hybridMultilevel"/>
    <w:tmpl w:val="3154E554"/>
    <w:lvl w:ilvl="0" w:tplc="52447AAE">
      <w:start w:val="1"/>
      <w:numFmt w:val="bullet"/>
      <w:lvlText w:val="•"/>
      <w:lvlJc w:val="left"/>
      <w:pPr>
        <w:tabs>
          <w:tab w:val="num" w:pos="720"/>
        </w:tabs>
        <w:ind w:left="720" w:hanging="360"/>
      </w:pPr>
      <w:rPr>
        <w:rFonts w:ascii="Arial" w:hAnsi="Arial" w:hint="default"/>
      </w:rPr>
    </w:lvl>
    <w:lvl w:ilvl="1" w:tplc="D81098F8" w:tentative="1">
      <w:start w:val="1"/>
      <w:numFmt w:val="bullet"/>
      <w:lvlText w:val="•"/>
      <w:lvlJc w:val="left"/>
      <w:pPr>
        <w:tabs>
          <w:tab w:val="num" w:pos="1440"/>
        </w:tabs>
        <w:ind w:left="1440" w:hanging="360"/>
      </w:pPr>
      <w:rPr>
        <w:rFonts w:ascii="Arial" w:hAnsi="Arial" w:hint="default"/>
      </w:rPr>
    </w:lvl>
    <w:lvl w:ilvl="2" w:tplc="03FC5E4A" w:tentative="1">
      <w:start w:val="1"/>
      <w:numFmt w:val="bullet"/>
      <w:lvlText w:val="•"/>
      <w:lvlJc w:val="left"/>
      <w:pPr>
        <w:tabs>
          <w:tab w:val="num" w:pos="2160"/>
        </w:tabs>
        <w:ind w:left="2160" w:hanging="360"/>
      </w:pPr>
      <w:rPr>
        <w:rFonts w:ascii="Arial" w:hAnsi="Arial" w:hint="default"/>
      </w:rPr>
    </w:lvl>
    <w:lvl w:ilvl="3" w:tplc="C436DF3E" w:tentative="1">
      <w:start w:val="1"/>
      <w:numFmt w:val="bullet"/>
      <w:lvlText w:val="•"/>
      <w:lvlJc w:val="left"/>
      <w:pPr>
        <w:tabs>
          <w:tab w:val="num" w:pos="2880"/>
        </w:tabs>
        <w:ind w:left="2880" w:hanging="360"/>
      </w:pPr>
      <w:rPr>
        <w:rFonts w:ascii="Arial" w:hAnsi="Arial" w:hint="default"/>
      </w:rPr>
    </w:lvl>
    <w:lvl w:ilvl="4" w:tplc="CAA0D566" w:tentative="1">
      <w:start w:val="1"/>
      <w:numFmt w:val="bullet"/>
      <w:lvlText w:val="•"/>
      <w:lvlJc w:val="left"/>
      <w:pPr>
        <w:tabs>
          <w:tab w:val="num" w:pos="3600"/>
        </w:tabs>
        <w:ind w:left="3600" w:hanging="360"/>
      </w:pPr>
      <w:rPr>
        <w:rFonts w:ascii="Arial" w:hAnsi="Arial" w:hint="default"/>
      </w:rPr>
    </w:lvl>
    <w:lvl w:ilvl="5" w:tplc="5D4CBDFE" w:tentative="1">
      <w:start w:val="1"/>
      <w:numFmt w:val="bullet"/>
      <w:lvlText w:val="•"/>
      <w:lvlJc w:val="left"/>
      <w:pPr>
        <w:tabs>
          <w:tab w:val="num" w:pos="4320"/>
        </w:tabs>
        <w:ind w:left="4320" w:hanging="360"/>
      </w:pPr>
      <w:rPr>
        <w:rFonts w:ascii="Arial" w:hAnsi="Arial" w:hint="default"/>
      </w:rPr>
    </w:lvl>
    <w:lvl w:ilvl="6" w:tplc="71207B42" w:tentative="1">
      <w:start w:val="1"/>
      <w:numFmt w:val="bullet"/>
      <w:lvlText w:val="•"/>
      <w:lvlJc w:val="left"/>
      <w:pPr>
        <w:tabs>
          <w:tab w:val="num" w:pos="5040"/>
        </w:tabs>
        <w:ind w:left="5040" w:hanging="360"/>
      </w:pPr>
      <w:rPr>
        <w:rFonts w:ascii="Arial" w:hAnsi="Arial" w:hint="default"/>
      </w:rPr>
    </w:lvl>
    <w:lvl w:ilvl="7" w:tplc="000410C4" w:tentative="1">
      <w:start w:val="1"/>
      <w:numFmt w:val="bullet"/>
      <w:lvlText w:val="•"/>
      <w:lvlJc w:val="left"/>
      <w:pPr>
        <w:tabs>
          <w:tab w:val="num" w:pos="5760"/>
        </w:tabs>
        <w:ind w:left="5760" w:hanging="360"/>
      </w:pPr>
      <w:rPr>
        <w:rFonts w:ascii="Arial" w:hAnsi="Arial" w:hint="default"/>
      </w:rPr>
    </w:lvl>
    <w:lvl w:ilvl="8" w:tplc="912AA0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4AC65D68"/>
    <w:multiLevelType w:val="hybridMultilevel"/>
    <w:tmpl w:val="3AD67ABA"/>
    <w:lvl w:ilvl="0" w:tplc="9BE420FE">
      <w:start w:val="1"/>
      <w:numFmt w:val="bullet"/>
      <w:lvlText w:val="▪"/>
      <w:lvlJc w:val="left"/>
      <w:pPr>
        <w:tabs>
          <w:tab w:val="num" w:pos="360"/>
        </w:tabs>
        <w:ind w:left="360" w:hanging="360"/>
      </w:pPr>
      <w:rPr>
        <w:rFonts w:ascii="Lucida Grande" w:hAnsi="Lucida Grande" w:hint="default"/>
      </w:rPr>
    </w:lvl>
    <w:lvl w:ilvl="1" w:tplc="2AC8BB26">
      <w:start w:val="50"/>
      <w:numFmt w:val="bullet"/>
      <w:lvlText w:val="•"/>
      <w:lvlJc w:val="left"/>
      <w:pPr>
        <w:tabs>
          <w:tab w:val="num" w:pos="1080"/>
        </w:tabs>
        <w:ind w:left="1080" w:hanging="360"/>
      </w:pPr>
      <w:rPr>
        <w:rFonts w:ascii="Arial" w:hAnsi="Arial" w:hint="default"/>
      </w:rPr>
    </w:lvl>
    <w:lvl w:ilvl="2" w:tplc="36C0D5A2">
      <w:start w:val="50"/>
      <w:numFmt w:val="bullet"/>
      <w:lvlText w:val="▪"/>
      <w:lvlJc w:val="left"/>
      <w:pPr>
        <w:tabs>
          <w:tab w:val="num" w:pos="1800"/>
        </w:tabs>
        <w:ind w:left="1800" w:hanging="360"/>
      </w:pPr>
      <w:rPr>
        <w:rFonts w:ascii="Lucida Grande" w:hAnsi="Lucida Grande" w:hint="default"/>
      </w:rPr>
    </w:lvl>
    <w:lvl w:ilvl="3" w:tplc="5B309B52">
      <w:start w:val="50"/>
      <w:numFmt w:val="bullet"/>
      <w:lvlText w:val="•"/>
      <w:lvlJc w:val="left"/>
      <w:pPr>
        <w:tabs>
          <w:tab w:val="num" w:pos="2520"/>
        </w:tabs>
        <w:ind w:left="2520" w:hanging="360"/>
      </w:pPr>
      <w:rPr>
        <w:rFonts w:ascii="Arial" w:hAnsi="Arial" w:hint="default"/>
      </w:rPr>
    </w:lvl>
    <w:lvl w:ilvl="4" w:tplc="050E65E0" w:tentative="1">
      <w:start w:val="1"/>
      <w:numFmt w:val="bullet"/>
      <w:lvlText w:val="▪"/>
      <w:lvlJc w:val="left"/>
      <w:pPr>
        <w:tabs>
          <w:tab w:val="num" w:pos="3240"/>
        </w:tabs>
        <w:ind w:left="3240" w:hanging="360"/>
      </w:pPr>
      <w:rPr>
        <w:rFonts w:ascii="Lucida Grande" w:hAnsi="Lucida Grande" w:hint="default"/>
      </w:rPr>
    </w:lvl>
    <w:lvl w:ilvl="5" w:tplc="B94410F6" w:tentative="1">
      <w:start w:val="1"/>
      <w:numFmt w:val="bullet"/>
      <w:lvlText w:val="▪"/>
      <w:lvlJc w:val="left"/>
      <w:pPr>
        <w:tabs>
          <w:tab w:val="num" w:pos="3960"/>
        </w:tabs>
        <w:ind w:left="3960" w:hanging="360"/>
      </w:pPr>
      <w:rPr>
        <w:rFonts w:ascii="Lucida Grande" w:hAnsi="Lucida Grande" w:hint="default"/>
      </w:rPr>
    </w:lvl>
    <w:lvl w:ilvl="6" w:tplc="F7A40B90" w:tentative="1">
      <w:start w:val="1"/>
      <w:numFmt w:val="bullet"/>
      <w:lvlText w:val="▪"/>
      <w:lvlJc w:val="left"/>
      <w:pPr>
        <w:tabs>
          <w:tab w:val="num" w:pos="4680"/>
        </w:tabs>
        <w:ind w:left="4680" w:hanging="360"/>
      </w:pPr>
      <w:rPr>
        <w:rFonts w:ascii="Lucida Grande" w:hAnsi="Lucida Grande" w:hint="default"/>
      </w:rPr>
    </w:lvl>
    <w:lvl w:ilvl="7" w:tplc="077438F6" w:tentative="1">
      <w:start w:val="1"/>
      <w:numFmt w:val="bullet"/>
      <w:lvlText w:val="▪"/>
      <w:lvlJc w:val="left"/>
      <w:pPr>
        <w:tabs>
          <w:tab w:val="num" w:pos="5400"/>
        </w:tabs>
        <w:ind w:left="5400" w:hanging="360"/>
      </w:pPr>
      <w:rPr>
        <w:rFonts w:ascii="Lucida Grande" w:hAnsi="Lucida Grande" w:hint="default"/>
      </w:rPr>
    </w:lvl>
    <w:lvl w:ilvl="8" w:tplc="917A5AAA" w:tentative="1">
      <w:start w:val="1"/>
      <w:numFmt w:val="bullet"/>
      <w:lvlText w:val="▪"/>
      <w:lvlJc w:val="left"/>
      <w:pPr>
        <w:tabs>
          <w:tab w:val="num" w:pos="6120"/>
        </w:tabs>
        <w:ind w:left="6120" w:hanging="360"/>
      </w:pPr>
      <w:rPr>
        <w:rFonts w:ascii="Lucida Grande" w:hAnsi="Lucida Grande" w:hint="default"/>
      </w:rPr>
    </w:lvl>
  </w:abstractNum>
  <w:abstractNum w:abstractNumId="29"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2264269"/>
    <w:multiLevelType w:val="hybridMultilevel"/>
    <w:tmpl w:val="AC000A74"/>
    <w:lvl w:ilvl="0" w:tplc="7AFCA1FA">
      <w:start w:val="1"/>
      <w:numFmt w:val="decimal"/>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5AAF2FF8"/>
    <w:multiLevelType w:val="hybridMultilevel"/>
    <w:tmpl w:val="05A864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08A68B3"/>
    <w:multiLevelType w:val="hybridMultilevel"/>
    <w:tmpl w:val="C7FE16B6"/>
    <w:lvl w:ilvl="0" w:tplc="A386BB0E">
      <w:start w:val="1"/>
      <w:numFmt w:val="bullet"/>
      <w:lvlText w:val="o"/>
      <w:lvlJc w:val="left"/>
      <w:pPr>
        <w:tabs>
          <w:tab w:val="num" w:pos="720"/>
        </w:tabs>
        <w:ind w:left="720" w:hanging="360"/>
      </w:pPr>
      <w:rPr>
        <w:rFonts w:ascii="Courier New" w:hAnsi="Courier New" w:hint="default"/>
      </w:rPr>
    </w:lvl>
    <w:lvl w:ilvl="1" w:tplc="76BCAF2E">
      <w:start w:val="1"/>
      <w:numFmt w:val="bullet"/>
      <w:lvlText w:val="o"/>
      <w:lvlJc w:val="left"/>
      <w:pPr>
        <w:tabs>
          <w:tab w:val="num" w:pos="1440"/>
        </w:tabs>
        <w:ind w:left="1440" w:hanging="360"/>
      </w:pPr>
      <w:rPr>
        <w:rFonts w:ascii="Courier New" w:hAnsi="Courier New" w:hint="default"/>
      </w:rPr>
    </w:lvl>
    <w:lvl w:ilvl="2" w:tplc="F04AF9EE" w:tentative="1">
      <w:start w:val="1"/>
      <w:numFmt w:val="bullet"/>
      <w:lvlText w:val="o"/>
      <w:lvlJc w:val="left"/>
      <w:pPr>
        <w:tabs>
          <w:tab w:val="num" w:pos="2160"/>
        </w:tabs>
        <w:ind w:left="2160" w:hanging="360"/>
      </w:pPr>
      <w:rPr>
        <w:rFonts w:ascii="Courier New" w:hAnsi="Courier New" w:hint="default"/>
      </w:rPr>
    </w:lvl>
    <w:lvl w:ilvl="3" w:tplc="CD14F7B6" w:tentative="1">
      <w:start w:val="1"/>
      <w:numFmt w:val="bullet"/>
      <w:lvlText w:val="o"/>
      <w:lvlJc w:val="left"/>
      <w:pPr>
        <w:tabs>
          <w:tab w:val="num" w:pos="2880"/>
        </w:tabs>
        <w:ind w:left="2880" w:hanging="360"/>
      </w:pPr>
      <w:rPr>
        <w:rFonts w:ascii="Courier New" w:hAnsi="Courier New" w:hint="default"/>
      </w:rPr>
    </w:lvl>
    <w:lvl w:ilvl="4" w:tplc="B89E3304" w:tentative="1">
      <w:start w:val="1"/>
      <w:numFmt w:val="bullet"/>
      <w:lvlText w:val="o"/>
      <w:lvlJc w:val="left"/>
      <w:pPr>
        <w:tabs>
          <w:tab w:val="num" w:pos="3600"/>
        </w:tabs>
        <w:ind w:left="3600" w:hanging="360"/>
      </w:pPr>
      <w:rPr>
        <w:rFonts w:ascii="Courier New" w:hAnsi="Courier New" w:hint="default"/>
      </w:rPr>
    </w:lvl>
    <w:lvl w:ilvl="5" w:tplc="746E0908" w:tentative="1">
      <w:start w:val="1"/>
      <w:numFmt w:val="bullet"/>
      <w:lvlText w:val="o"/>
      <w:lvlJc w:val="left"/>
      <w:pPr>
        <w:tabs>
          <w:tab w:val="num" w:pos="4320"/>
        </w:tabs>
        <w:ind w:left="4320" w:hanging="360"/>
      </w:pPr>
      <w:rPr>
        <w:rFonts w:ascii="Courier New" w:hAnsi="Courier New" w:hint="default"/>
      </w:rPr>
    </w:lvl>
    <w:lvl w:ilvl="6" w:tplc="F1E8F5FE" w:tentative="1">
      <w:start w:val="1"/>
      <w:numFmt w:val="bullet"/>
      <w:lvlText w:val="o"/>
      <w:lvlJc w:val="left"/>
      <w:pPr>
        <w:tabs>
          <w:tab w:val="num" w:pos="5040"/>
        </w:tabs>
        <w:ind w:left="5040" w:hanging="360"/>
      </w:pPr>
      <w:rPr>
        <w:rFonts w:ascii="Courier New" w:hAnsi="Courier New" w:hint="default"/>
      </w:rPr>
    </w:lvl>
    <w:lvl w:ilvl="7" w:tplc="D728AE86" w:tentative="1">
      <w:start w:val="1"/>
      <w:numFmt w:val="bullet"/>
      <w:lvlText w:val="o"/>
      <w:lvlJc w:val="left"/>
      <w:pPr>
        <w:tabs>
          <w:tab w:val="num" w:pos="5760"/>
        </w:tabs>
        <w:ind w:left="5760" w:hanging="360"/>
      </w:pPr>
      <w:rPr>
        <w:rFonts w:ascii="Courier New" w:hAnsi="Courier New" w:hint="default"/>
      </w:rPr>
    </w:lvl>
    <w:lvl w:ilvl="8" w:tplc="E17E217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1193BAC"/>
    <w:multiLevelType w:val="hybridMultilevel"/>
    <w:tmpl w:val="0A861F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FF565C"/>
    <w:multiLevelType w:val="hybridMultilevel"/>
    <w:tmpl w:val="49721D64"/>
    <w:lvl w:ilvl="0" w:tplc="FDA2F1EA">
      <w:start w:val="1"/>
      <w:numFmt w:val="bullet"/>
      <w:lvlText w:val="•"/>
      <w:lvlJc w:val="left"/>
      <w:pPr>
        <w:tabs>
          <w:tab w:val="num" w:pos="360"/>
        </w:tabs>
        <w:ind w:left="360" w:hanging="360"/>
      </w:pPr>
      <w:rPr>
        <w:rFonts w:ascii="Arial" w:hAnsi="Arial" w:hint="default"/>
      </w:rPr>
    </w:lvl>
    <w:lvl w:ilvl="1" w:tplc="353EE5D4">
      <w:start w:val="1"/>
      <w:numFmt w:val="bullet"/>
      <w:lvlText w:val="•"/>
      <w:lvlJc w:val="left"/>
      <w:pPr>
        <w:tabs>
          <w:tab w:val="num" w:pos="1080"/>
        </w:tabs>
        <w:ind w:left="1080" w:hanging="360"/>
      </w:pPr>
      <w:rPr>
        <w:rFonts w:ascii="Arial" w:hAnsi="Arial" w:hint="default"/>
      </w:rPr>
    </w:lvl>
    <w:lvl w:ilvl="2" w:tplc="8BEC81B6">
      <w:start w:val="50"/>
      <w:numFmt w:val="bullet"/>
      <w:lvlText w:val="▪"/>
      <w:lvlJc w:val="left"/>
      <w:pPr>
        <w:tabs>
          <w:tab w:val="num" w:pos="1800"/>
        </w:tabs>
        <w:ind w:left="1800" w:hanging="360"/>
      </w:pPr>
      <w:rPr>
        <w:rFonts w:ascii="Lucida Grande" w:hAnsi="Lucida Grande" w:hint="default"/>
      </w:rPr>
    </w:lvl>
    <w:lvl w:ilvl="3" w:tplc="AE9AE8E0" w:tentative="1">
      <w:start w:val="1"/>
      <w:numFmt w:val="bullet"/>
      <w:lvlText w:val="•"/>
      <w:lvlJc w:val="left"/>
      <w:pPr>
        <w:tabs>
          <w:tab w:val="num" w:pos="2520"/>
        </w:tabs>
        <w:ind w:left="2520" w:hanging="360"/>
      </w:pPr>
      <w:rPr>
        <w:rFonts w:ascii="Arial" w:hAnsi="Arial" w:hint="default"/>
      </w:rPr>
    </w:lvl>
    <w:lvl w:ilvl="4" w:tplc="80C48168" w:tentative="1">
      <w:start w:val="1"/>
      <w:numFmt w:val="bullet"/>
      <w:lvlText w:val="•"/>
      <w:lvlJc w:val="left"/>
      <w:pPr>
        <w:tabs>
          <w:tab w:val="num" w:pos="3240"/>
        </w:tabs>
        <w:ind w:left="3240" w:hanging="360"/>
      </w:pPr>
      <w:rPr>
        <w:rFonts w:ascii="Arial" w:hAnsi="Arial" w:hint="default"/>
      </w:rPr>
    </w:lvl>
    <w:lvl w:ilvl="5" w:tplc="EDC4F868" w:tentative="1">
      <w:start w:val="1"/>
      <w:numFmt w:val="bullet"/>
      <w:lvlText w:val="•"/>
      <w:lvlJc w:val="left"/>
      <w:pPr>
        <w:tabs>
          <w:tab w:val="num" w:pos="3960"/>
        </w:tabs>
        <w:ind w:left="3960" w:hanging="360"/>
      </w:pPr>
      <w:rPr>
        <w:rFonts w:ascii="Arial" w:hAnsi="Arial" w:hint="default"/>
      </w:rPr>
    </w:lvl>
    <w:lvl w:ilvl="6" w:tplc="7B04E9C6" w:tentative="1">
      <w:start w:val="1"/>
      <w:numFmt w:val="bullet"/>
      <w:lvlText w:val="•"/>
      <w:lvlJc w:val="left"/>
      <w:pPr>
        <w:tabs>
          <w:tab w:val="num" w:pos="4680"/>
        </w:tabs>
        <w:ind w:left="4680" w:hanging="360"/>
      </w:pPr>
      <w:rPr>
        <w:rFonts w:ascii="Arial" w:hAnsi="Arial" w:hint="default"/>
      </w:rPr>
    </w:lvl>
    <w:lvl w:ilvl="7" w:tplc="FF9A6716" w:tentative="1">
      <w:start w:val="1"/>
      <w:numFmt w:val="bullet"/>
      <w:lvlText w:val="•"/>
      <w:lvlJc w:val="left"/>
      <w:pPr>
        <w:tabs>
          <w:tab w:val="num" w:pos="5400"/>
        </w:tabs>
        <w:ind w:left="5400" w:hanging="360"/>
      </w:pPr>
      <w:rPr>
        <w:rFonts w:ascii="Arial" w:hAnsi="Arial" w:hint="default"/>
      </w:rPr>
    </w:lvl>
    <w:lvl w:ilvl="8" w:tplc="10226F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68972CB1"/>
    <w:multiLevelType w:val="hybridMultilevel"/>
    <w:tmpl w:val="90663444"/>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A076887"/>
    <w:multiLevelType w:val="multilevel"/>
    <w:tmpl w:val="51B285B4"/>
    <w:lvl w:ilvl="0">
      <w:start w:val="3"/>
      <w:numFmt w:val="decimal"/>
      <w:lvlText w:val="%1"/>
      <w:lvlJc w:val="left"/>
      <w:pPr>
        <w:ind w:left="-120" w:hanging="360"/>
      </w:pPr>
      <w:rPr>
        <w:rFonts w:hint="default"/>
        <w:b/>
        <w:sz w:val="28"/>
      </w:rPr>
    </w:lvl>
    <w:lvl w:ilvl="1">
      <w:start w:val="1"/>
      <w:numFmt w:val="decimal"/>
      <w:isLgl/>
      <w:lvlText w:val="%1.%2"/>
      <w:lvlJc w:val="left"/>
      <w:pPr>
        <w:ind w:left="-120" w:hanging="360"/>
      </w:pPr>
      <w:rPr>
        <w:rFonts w:hint="default"/>
      </w:rPr>
    </w:lvl>
    <w:lvl w:ilvl="2">
      <w:start w:val="1"/>
      <w:numFmt w:val="decimal"/>
      <w:isLgl/>
      <w:lvlText w:val="%1.%2.%3"/>
      <w:lvlJc w:val="left"/>
      <w:pPr>
        <w:ind w:left="240" w:hanging="720"/>
      </w:pPr>
      <w:rPr>
        <w:rFonts w:hint="default"/>
      </w:rPr>
    </w:lvl>
    <w:lvl w:ilvl="3">
      <w:start w:val="1"/>
      <w:numFmt w:val="decimal"/>
      <w:isLgl/>
      <w:lvlText w:val="%1.%2.%3.%4"/>
      <w:lvlJc w:val="left"/>
      <w:pPr>
        <w:ind w:left="240" w:hanging="720"/>
      </w:pPr>
      <w:rPr>
        <w:rFonts w:hint="default"/>
      </w:rPr>
    </w:lvl>
    <w:lvl w:ilvl="4">
      <w:start w:val="1"/>
      <w:numFmt w:val="decimal"/>
      <w:isLgl/>
      <w:lvlText w:val="%1.%2.%3.%4.%5"/>
      <w:lvlJc w:val="left"/>
      <w:pPr>
        <w:ind w:left="600" w:hanging="1080"/>
      </w:pPr>
      <w:rPr>
        <w:rFonts w:hint="default"/>
      </w:rPr>
    </w:lvl>
    <w:lvl w:ilvl="5">
      <w:start w:val="1"/>
      <w:numFmt w:val="decimal"/>
      <w:isLgl/>
      <w:lvlText w:val="%1.%2.%3.%4.%5.%6"/>
      <w:lvlJc w:val="left"/>
      <w:pPr>
        <w:ind w:left="600" w:hanging="1080"/>
      </w:pPr>
      <w:rPr>
        <w:rFonts w:hint="default"/>
      </w:rPr>
    </w:lvl>
    <w:lvl w:ilvl="6">
      <w:start w:val="1"/>
      <w:numFmt w:val="decimal"/>
      <w:isLgl/>
      <w:lvlText w:val="%1.%2.%3.%4.%5.%6.%7"/>
      <w:lvlJc w:val="left"/>
      <w:pPr>
        <w:ind w:left="960" w:hanging="1440"/>
      </w:pPr>
      <w:rPr>
        <w:rFonts w:hint="default"/>
      </w:rPr>
    </w:lvl>
    <w:lvl w:ilvl="7">
      <w:start w:val="1"/>
      <w:numFmt w:val="decimal"/>
      <w:isLgl/>
      <w:lvlText w:val="%1.%2.%3.%4.%5.%6.%7.%8"/>
      <w:lvlJc w:val="left"/>
      <w:pPr>
        <w:ind w:left="960" w:hanging="1440"/>
      </w:pPr>
      <w:rPr>
        <w:rFonts w:hint="default"/>
      </w:rPr>
    </w:lvl>
    <w:lvl w:ilvl="8">
      <w:start w:val="1"/>
      <w:numFmt w:val="decimal"/>
      <w:isLgl/>
      <w:lvlText w:val="%1.%2.%3.%4.%5.%6.%7.%8.%9"/>
      <w:lvlJc w:val="left"/>
      <w:pPr>
        <w:ind w:left="1320" w:hanging="1800"/>
      </w:pPr>
      <w:rPr>
        <w:rFonts w:hint="default"/>
      </w:rPr>
    </w:lvl>
  </w:abstractNum>
  <w:abstractNum w:abstractNumId="41" w15:restartNumberingAfterBreak="0">
    <w:nsid w:val="6C7E7CF1"/>
    <w:multiLevelType w:val="hybridMultilevel"/>
    <w:tmpl w:val="EC728BCA"/>
    <w:lvl w:ilvl="0" w:tplc="2BC0DF16">
      <w:start w:val="1"/>
      <w:numFmt w:val="bullet"/>
      <w:lvlText w:val="-"/>
      <w:lvlJc w:val="left"/>
      <w:pPr>
        <w:ind w:left="480" w:hanging="480"/>
      </w:pPr>
      <w:rPr>
        <w:rFonts w:ascii="Times New Roman" w:hAnsi="Times New Roman" w:cs="Times New Roman"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43" w15:restartNumberingAfterBreak="0">
    <w:nsid w:val="722420AB"/>
    <w:multiLevelType w:val="hybridMultilevel"/>
    <w:tmpl w:val="05EEE246"/>
    <w:lvl w:ilvl="0" w:tplc="08DEA1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A71EB8"/>
    <w:multiLevelType w:val="hybridMultilevel"/>
    <w:tmpl w:val="7B141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46"/>
  </w:num>
  <w:num w:numId="4">
    <w:abstractNumId w:val="43"/>
  </w:num>
  <w:num w:numId="5">
    <w:abstractNumId w:val="19"/>
  </w:num>
  <w:num w:numId="6">
    <w:abstractNumId w:val="4"/>
  </w:num>
  <w:num w:numId="7">
    <w:abstractNumId w:val="16"/>
  </w:num>
  <w:num w:numId="8">
    <w:abstractNumId w:val="42"/>
  </w:num>
  <w:num w:numId="9">
    <w:abstractNumId w:val="15"/>
  </w:num>
  <w:num w:numId="10">
    <w:abstractNumId w:val="37"/>
  </w:num>
  <w:num w:numId="11">
    <w:abstractNumId w:val="28"/>
  </w:num>
  <w:num w:numId="12">
    <w:abstractNumId w:val="40"/>
  </w:num>
  <w:num w:numId="13">
    <w:abstractNumId w:val="12"/>
  </w:num>
  <w:num w:numId="14">
    <w:abstractNumId w:val="39"/>
  </w:num>
  <w:num w:numId="15">
    <w:abstractNumId w:val="35"/>
  </w:num>
  <w:num w:numId="16">
    <w:abstractNumId w:val="5"/>
  </w:num>
  <w:num w:numId="17">
    <w:abstractNumId w:val="41"/>
  </w:num>
  <w:num w:numId="18">
    <w:abstractNumId w:val="33"/>
  </w:num>
  <w:num w:numId="19">
    <w:abstractNumId w:val="22"/>
  </w:num>
  <w:num w:numId="20">
    <w:abstractNumId w:val="38"/>
  </w:num>
  <w:num w:numId="21">
    <w:abstractNumId w:val="6"/>
  </w:num>
  <w:num w:numId="22">
    <w:abstractNumId w:val="13"/>
  </w:num>
  <w:num w:numId="23">
    <w:abstractNumId w:val="17"/>
  </w:num>
  <w:num w:numId="24">
    <w:abstractNumId w:val="7"/>
  </w:num>
  <w:num w:numId="25">
    <w:abstractNumId w:val="9"/>
  </w:num>
  <w:num w:numId="26">
    <w:abstractNumId w:val="10"/>
  </w:num>
  <w:num w:numId="27">
    <w:abstractNumId w:val="30"/>
  </w:num>
  <w:num w:numId="28">
    <w:abstractNumId w:val="32"/>
  </w:num>
  <w:num w:numId="29">
    <w:abstractNumId w:val="24"/>
  </w:num>
  <w:num w:numId="30">
    <w:abstractNumId w:val="31"/>
  </w:num>
  <w:num w:numId="31">
    <w:abstractNumId w:val="29"/>
  </w:num>
  <w:num w:numId="32">
    <w:abstractNumId w:val="1"/>
  </w:num>
  <w:num w:numId="33">
    <w:abstractNumId w:val="2"/>
  </w:num>
  <w:num w:numId="34">
    <w:abstractNumId w:val="36"/>
  </w:num>
  <w:num w:numId="35">
    <w:abstractNumId w:val="14"/>
  </w:num>
  <w:num w:numId="36">
    <w:abstractNumId w:val="26"/>
  </w:num>
  <w:num w:numId="37">
    <w:abstractNumId w:val="20"/>
  </w:num>
  <w:num w:numId="38">
    <w:abstractNumId w:val="25"/>
  </w:num>
  <w:num w:numId="39">
    <w:abstractNumId w:val="11"/>
  </w:num>
  <w:num w:numId="40">
    <w:abstractNumId w:val="34"/>
  </w:num>
  <w:num w:numId="41">
    <w:abstractNumId w:val="23"/>
  </w:num>
  <w:num w:numId="42">
    <w:abstractNumId w:val="8"/>
  </w:num>
  <w:num w:numId="43">
    <w:abstractNumId w:val="3"/>
  </w:num>
  <w:num w:numId="44">
    <w:abstractNumId w:val="21"/>
  </w:num>
  <w:num w:numId="45">
    <w:abstractNumId w:val="27"/>
  </w:num>
  <w:num w:numId="46">
    <w:abstractNumId w:val="44"/>
  </w:num>
  <w:num w:numId="47">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F3"/>
    <w:rsid w:val="00005C77"/>
    <w:rsid w:val="00010A8E"/>
    <w:rsid w:val="00011293"/>
    <w:rsid w:val="00011885"/>
    <w:rsid w:val="00012178"/>
    <w:rsid w:val="000136BD"/>
    <w:rsid w:val="000151DB"/>
    <w:rsid w:val="00030FBD"/>
    <w:rsid w:val="00031367"/>
    <w:rsid w:val="00031E9D"/>
    <w:rsid w:val="000364A1"/>
    <w:rsid w:val="00037A95"/>
    <w:rsid w:val="00037AEA"/>
    <w:rsid w:val="000412C1"/>
    <w:rsid w:val="00042FF4"/>
    <w:rsid w:val="00050D9D"/>
    <w:rsid w:val="00051211"/>
    <w:rsid w:val="000525BD"/>
    <w:rsid w:val="00055DC3"/>
    <w:rsid w:val="000620A8"/>
    <w:rsid w:val="0006404E"/>
    <w:rsid w:val="00064E3C"/>
    <w:rsid w:val="00065D30"/>
    <w:rsid w:val="00067340"/>
    <w:rsid w:val="00072492"/>
    <w:rsid w:val="00075237"/>
    <w:rsid w:val="000817DC"/>
    <w:rsid w:val="00081ECE"/>
    <w:rsid w:val="00083521"/>
    <w:rsid w:val="00083FE4"/>
    <w:rsid w:val="00090E84"/>
    <w:rsid w:val="00092A5C"/>
    <w:rsid w:val="00092BD7"/>
    <w:rsid w:val="000946A7"/>
    <w:rsid w:val="0009536F"/>
    <w:rsid w:val="00095E38"/>
    <w:rsid w:val="00097BC6"/>
    <w:rsid w:val="000A26AD"/>
    <w:rsid w:val="000A32E4"/>
    <w:rsid w:val="000A5130"/>
    <w:rsid w:val="000A69C0"/>
    <w:rsid w:val="000B3C1B"/>
    <w:rsid w:val="000B6F60"/>
    <w:rsid w:val="000B7068"/>
    <w:rsid w:val="000C117D"/>
    <w:rsid w:val="000C3089"/>
    <w:rsid w:val="000C3208"/>
    <w:rsid w:val="000C3F42"/>
    <w:rsid w:val="000C53DA"/>
    <w:rsid w:val="000C6337"/>
    <w:rsid w:val="000C7688"/>
    <w:rsid w:val="000C7905"/>
    <w:rsid w:val="000D135A"/>
    <w:rsid w:val="000D2253"/>
    <w:rsid w:val="000D2925"/>
    <w:rsid w:val="000D6363"/>
    <w:rsid w:val="000D7640"/>
    <w:rsid w:val="000E3373"/>
    <w:rsid w:val="000E3564"/>
    <w:rsid w:val="000E4442"/>
    <w:rsid w:val="000E61A7"/>
    <w:rsid w:val="000F2571"/>
    <w:rsid w:val="000F31DC"/>
    <w:rsid w:val="001014C1"/>
    <w:rsid w:val="00102DCB"/>
    <w:rsid w:val="00103D2A"/>
    <w:rsid w:val="001052B1"/>
    <w:rsid w:val="0010660A"/>
    <w:rsid w:val="001068F2"/>
    <w:rsid w:val="00112595"/>
    <w:rsid w:val="00114148"/>
    <w:rsid w:val="00115D1C"/>
    <w:rsid w:val="001233C3"/>
    <w:rsid w:val="0012488A"/>
    <w:rsid w:val="00124C6F"/>
    <w:rsid w:val="00126F5F"/>
    <w:rsid w:val="0013097A"/>
    <w:rsid w:val="00131CC0"/>
    <w:rsid w:val="0013374D"/>
    <w:rsid w:val="00133A31"/>
    <w:rsid w:val="001340AC"/>
    <w:rsid w:val="00134A12"/>
    <w:rsid w:val="001401FC"/>
    <w:rsid w:val="00142A5E"/>
    <w:rsid w:val="0014617E"/>
    <w:rsid w:val="0014671A"/>
    <w:rsid w:val="00146994"/>
    <w:rsid w:val="001500BD"/>
    <w:rsid w:val="00151116"/>
    <w:rsid w:val="00152131"/>
    <w:rsid w:val="00152FE7"/>
    <w:rsid w:val="00153DAF"/>
    <w:rsid w:val="001540A5"/>
    <w:rsid w:val="00154D22"/>
    <w:rsid w:val="001624D6"/>
    <w:rsid w:val="00162796"/>
    <w:rsid w:val="00167279"/>
    <w:rsid w:val="00167B89"/>
    <w:rsid w:val="00170164"/>
    <w:rsid w:val="00170688"/>
    <w:rsid w:val="0017075E"/>
    <w:rsid w:val="00171D6C"/>
    <w:rsid w:val="001742F3"/>
    <w:rsid w:val="00174E27"/>
    <w:rsid w:val="00175176"/>
    <w:rsid w:val="001758FC"/>
    <w:rsid w:val="00175F34"/>
    <w:rsid w:val="0017604A"/>
    <w:rsid w:val="00181DFA"/>
    <w:rsid w:val="00184549"/>
    <w:rsid w:val="00185541"/>
    <w:rsid w:val="001906A8"/>
    <w:rsid w:val="00195F45"/>
    <w:rsid w:val="00196200"/>
    <w:rsid w:val="001A1772"/>
    <w:rsid w:val="001A214D"/>
    <w:rsid w:val="001A2322"/>
    <w:rsid w:val="001A4FC5"/>
    <w:rsid w:val="001A5503"/>
    <w:rsid w:val="001A5563"/>
    <w:rsid w:val="001B0B1A"/>
    <w:rsid w:val="001B3849"/>
    <w:rsid w:val="001B57B5"/>
    <w:rsid w:val="001C039F"/>
    <w:rsid w:val="001C0CB3"/>
    <w:rsid w:val="001C1D70"/>
    <w:rsid w:val="001C2569"/>
    <w:rsid w:val="001C4BB2"/>
    <w:rsid w:val="001C68AD"/>
    <w:rsid w:val="001D0C9A"/>
    <w:rsid w:val="001D2A7A"/>
    <w:rsid w:val="001D30DB"/>
    <w:rsid w:val="001D3A2F"/>
    <w:rsid w:val="001D7BD7"/>
    <w:rsid w:val="001E0491"/>
    <w:rsid w:val="001E0977"/>
    <w:rsid w:val="001E1181"/>
    <w:rsid w:val="001E678D"/>
    <w:rsid w:val="001F252C"/>
    <w:rsid w:val="001F34B2"/>
    <w:rsid w:val="001F6505"/>
    <w:rsid w:val="001F6D27"/>
    <w:rsid w:val="00201637"/>
    <w:rsid w:val="00201703"/>
    <w:rsid w:val="00202142"/>
    <w:rsid w:val="002027F6"/>
    <w:rsid w:val="00203583"/>
    <w:rsid w:val="00204F97"/>
    <w:rsid w:val="00206C5E"/>
    <w:rsid w:val="002109A3"/>
    <w:rsid w:val="00212D58"/>
    <w:rsid w:val="00220E7C"/>
    <w:rsid w:val="002222DF"/>
    <w:rsid w:val="002274BB"/>
    <w:rsid w:val="002312E9"/>
    <w:rsid w:val="00231EF2"/>
    <w:rsid w:val="002322FE"/>
    <w:rsid w:val="00233A50"/>
    <w:rsid w:val="00233B04"/>
    <w:rsid w:val="00235DFF"/>
    <w:rsid w:val="0024104E"/>
    <w:rsid w:val="00241629"/>
    <w:rsid w:val="00241CE4"/>
    <w:rsid w:val="002454AA"/>
    <w:rsid w:val="00262ED4"/>
    <w:rsid w:val="002658F9"/>
    <w:rsid w:val="00271170"/>
    <w:rsid w:val="002720CF"/>
    <w:rsid w:val="00280604"/>
    <w:rsid w:val="00280C8C"/>
    <w:rsid w:val="00282224"/>
    <w:rsid w:val="002824EE"/>
    <w:rsid w:val="00282585"/>
    <w:rsid w:val="002826E6"/>
    <w:rsid w:val="00282B70"/>
    <w:rsid w:val="00284C14"/>
    <w:rsid w:val="00284E62"/>
    <w:rsid w:val="00285616"/>
    <w:rsid w:val="00294A94"/>
    <w:rsid w:val="00294B21"/>
    <w:rsid w:val="00295361"/>
    <w:rsid w:val="0029713A"/>
    <w:rsid w:val="002A2D95"/>
    <w:rsid w:val="002B05E3"/>
    <w:rsid w:val="002B2EF7"/>
    <w:rsid w:val="002B363F"/>
    <w:rsid w:val="002B485C"/>
    <w:rsid w:val="002B6961"/>
    <w:rsid w:val="002B6B58"/>
    <w:rsid w:val="002C1958"/>
    <w:rsid w:val="002D2A09"/>
    <w:rsid w:val="002D3EB7"/>
    <w:rsid w:val="002D4A79"/>
    <w:rsid w:val="002E1B26"/>
    <w:rsid w:val="002E1C33"/>
    <w:rsid w:val="002E5C2F"/>
    <w:rsid w:val="002E63F3"/>
    <w:rsid w:val="002E6C47"/>
    <w:rsid w:val="002F22E7"/>
    <w:rsid w:val="002F2AB9"/>
    <w:rsid w:val="002F2F3A"/>
    <w:rsid w:val="002F342E"/>
    <w:rsid w:val="002F5A71"/>
    <w:rsid w:val="002F636E"/>
    <w:rsid w:val="002F6E03"/>
    <w:rsid w:val="003020C7"/>
    <w:rsid w:val="0030215E"/>
    <w:rsid w:val="00302F37"/>
    <w:rsid w:val="00303729"/>
    <w:rsid w:val="0030646C"/>
    <w:rsid w:val="00307E7E"/>
    <w:rsid w:val="00310331"/>
    <w:rsid w:val="003129F3"/>
    <w:rsid w:val="00315D6B"/>
    <w:rsid w:val="00316391"/>
    <w:rsid w:val="003164E7"/>
    <w:rsid w:val="003210FE"/>
    <w:rsid w:val="0032112A"/>
    <w:rsid w:val="00322138"/>
    <w:rsid w:val="00326E52"/>
    <w:rsid w:val="003277A8"/>
    <w:rsid w:val="00327E89"/>
    <w:rsid w:val="00330198"/>
    <w:rsid w:val="0033114A"/>
    <w:rsid w:val="00335B5D"/>
    <w:rsid w:val="00342795"/>
    <w:rsid w:val="00342FB1"/>
    <w:rsid w:val="00347DEB"/>
    <w:rsid w:val="00351431"/>
    <w:rsid w:val="00352870"/>
    <w:rsid w:val="00354C97"/>
    <w:rsid w:val="003565FB"/>
    <w:rsid w:val="00362494"/>
    <w:rsid w:val="00362790"/>
    <w:rsid w:val="003635BE"/>
    <w:rsid w:val="00367FD1"/>
    <w:rsid w:val="0037213E"/>
    <w:rsid w:val="00372667"/>
    <w:rsid w:val="003760FB"/>
    <w:rsid w:val="00380695"/>
    <w:rsid w:val="00382770"/>
    <w:rsid w:val="00384BB4"/>
    <w:rsid w:val="00387838"/>
    <w:rsid w:val="003903E8"/>
    <w:rsid w:val="00390B54"/>
    <w:rsid w:val="00390CDA"/>
    <w:rsid w:val="0039210B"/>
    <w:rsid w:val="0039346E"/>
    <w:rsid w:val="00396F8D"/>
    <w:rsid w:val="003A193E"/>
    <w:rsid w:val="003A651A"/>
    <w:rsid w:val="003A795F"/>
    <w:rsid w:val="003B5AEE"/>
    <w:rsid w:val="003C0CC5"/>
    <w:rsid w:val="003C0E78"/>
    <w:rsid w:val="003C229D"/>
    <w:rsid w:val="003C2D25"/>
    <w:rsid w:val="003C4490"/>
    <w:rsid w:val="003D2D57"/>
    <w:rsid w:val="003D3D06"/>
    <w:rsid w:val="003D6EDB"/>
    <w:rsid w:val="003E17DC"/>
    <w:rsid w:val="003E6A0C"/>
    <w:rsid w:val="003F0D1E"/>
    <w:rsid w:val="003F4D51"/>
    <w:rsid w:val="00400804"/>
    <w:rsid w:val="0040122C"/>
    <w:rsid w:val="00405071"/>
    <w:rsid w:val="00407899"/>
    <w:rsid w:val="00413CAF"/>
    <w:rsid w:val="00415EB9"/>
    <w:rsid w:val="004253F4"/>
    <w:rsid w:val="0042626C"/>
    <w:rsid w:val="0042765D"/>
    <w:rsid w:val="00431C9E"/>
    <w:rsid w:val="004330C4"/>
    <w:rsid w:val="00434CC7"/>
    <w:rsid w:val="00435078"/>
    <w:rsid w:val="00437B12"/>
    <w:rsid w:val="0044166D"/>
    <w:rsid w:val="00443428"/>
    <w:rsid w:val="00450988"/>
    <w:rsid w:val="00450BD0"/>
    <w:rsid w:val="00451320"/>
    <w:rsid w:val="00453E71"/>
    <w:rsid w:val="00454158"/>
    <w:rsid w:val="00460AC2"/>
    <w:rsid w:val="00463D27"/>
    <w:rsid w:val="0046469B"/>
    <w:rsid w:val="00464C90"/>
    <w:rsid w:val="00465183"/>
    <w:rsid w:val="0046539C"/>
    <w:rsid w:val="0046592D"/>
    <w:rsid w:val="00466071"/>
    <w:rsid w:val="0047089C"/>
    <w:rsid w:val="0047305B"/>
    <w:rsid w:val="0047355F"/>
    <w:rsid w:val="00473596"/>
    <w:rsid w:val="00477579"/>
    <w:rsid w:val="004813B8"/>
    <w:rsid w:val="00481B33"/>
    <w:rsid w:val="00483D87"/>
    <w:rsid w:val="00483EBD"/>
    <w:rsid w:val="00486D33"/>
    <w:rsid w:val="004966C5"/>
    <w:rsid w:val="004A323A"/>
    <w:rsid w:val="004A3A57"/>
    <w:rsid w:val="004A4177"/>
    <w:rsid w:val="004A4B22"/>
    <w:rsid w:val="004A63DB"/>
    <w:rsid w:val="004B08EC"/>
    <w:rsid w:val="004B5F50"/>
    <w:rsid w:val="004B6308"/>
    <w:rsid w:val="004B64CC"/>
    <w:rsid w:val="004C18D9"/>
    <w:rsid w:val="004C2BD5"/>
    <w:rsid w:val="004D4A05"/>
    <w:rsid w:val="004D5D88"/>
    <w:rsid w:val="004D5E80"/>
    <w:rsid w:val="004D6078"/>
    <w:rsid w:val="004E15EF"/>
    <w:rsid w:val="004E18C2"/>
    <w:rsid w:val="004E207D"/>
    <w:rsid w:val="004E2A9E"/>
    <w:rsid w:val="004E40DE"/>
    <w:rsid w:val="004E51ED"/>
    <w:rsid w:val="004E6B81"/>
    <w:rsid w:val="004F0246"/>
    <w:rsid w:val="004F0F48"/>
    <w:rsid w:val="004F746C"/>
    <w:rsid w:val="00500888"/>
    <w:rsid w:val="00503BB2"/>
    <w:rsid w:val="00504DBC"/>
    <w:rsid w:val="0051087C"/>
    <w:rsid w:val="005129BD"/>
    <w:rsid w:val="005151AA"/>
    <w:rsid w:val="00516A08"/>
    <w:rsid w:val="00516C0E"/>
    <w:rsid w:val="005219C7"/>
    <w:rsid w:val="00527445"/>
    <w:rsid w:val="00527EB5"/>
    <w:rsid w:val="00531925"/>
    <w:rsid w:val="00531979"/>
    <w:rsid w:val="00532609"/>
    <w:rsid w:val="0053549A"/>
    <w:rsid w:val="00537600"/>
    <w:rsid w:val="005411FD"/>
    <w:rsid w:val="005459B9"/>
    <w:rsid w:val="00550757"/>
    <w:rsid w:val="00550944"/>
    <w:rsid w:val="005517B1"/>
    <w:rsid w:val="00556E87"/>
    <w:rsid w:val="00560277"/>
    <w:rsid w:val="00560E17"/>
    <w:rsid w:val="00560F4B"/>
    <w:rsid w:val="00565B3B"/>
    <w:rsid w:val="00566A56"/>
    <w:rsid w:val="00571199"/>
    <w:rsid w:val="0057490C"/>
    <w:rsid w:val="00576B73"/>
    <w:rsid w:val="0057777A"/>
    <w:rsid w:val="005814CA"/>
    <w:rsid w:val="00583951"/>
    <w:rsid w:val="00590BFD"/>
    <w:rsid w:val="00592609"/>
    <w:rsid w:val="00596B82"/>
    <w:rsid w:val="005A1DA0"/>
    <w:rsid w:val="005A542B"/>
    <w:rsid w:val="005A5D94"/>
    <w:rsid w:val="005A7E92"/>
    <w:rsid w:val="005B2590"/>
    <w:rsid w:val="005B2E4D"/>
    <w:rsid w:val="005B4A6C"/>
    <w:rsid w:val="005B61CB"/>
    <w:rsid w:val="005C0762"/>
    <w:rsid w:val="005C1ABF"/>
    <w:rsid w:val="005C5637"/>
    <w:rsid w:val="005C5AAE"/>
    <w:rsid w:val="005C68DA"/>
    <w:rsid w:val="005C6F36"/>
    <w:rsid w:val="005D1C87"/>
    <w:rsid w:val="005D5344"/>
    <w:rsid w:val="005D6849"/>
    <w:rsid w:val="005D7561"/>
    <w:rsid w:val="005D7596"/>
    <w:rsid w:val="005E2283"/>
    <w:rsid w:val="005E573C"/>
    <w:rsid w:val="005E6B09"/>
    <w:rsid w:val="005E6C01"/>
    <w:rsid w:val="005F0F37"/>
    <w:rsid w:val="005F2598"/>
    <w:rsid w:val="005F3CB7"/>
    <w:rsid w:val="0060393E"/>
    <w:rsid w:val="00605B80"/>
    <w:rsid w:val="006068A2"/>
    <w:rsid w:val="00610702"/>
    <w:rsid w:val="00613683"/>
    <w:rsid w:val="00614813"/>
    <w:rsid w:val="00620EC8"/>
    <w:rsid w:val="006233BF"/>
    <w:rsid w:val="00624D7C"/>
    <w:rsid w:val="006253DE"/>
    <w:rsid w:val="0063161B"/>
    <w:rsid w:val="0063189F"/>
    <w:rsid w:val="00633FF7"/>
    <w:rsid w:val="00635E98"/>
    <w:rsid w:val="006360E3"/>
    <w:rsid w:val="00641CD7"/>
    <w:rsid w:val="006431BA"/>
    <w:rsid w:val="00644929"/>
    <w:rsid w:val="00652D24"/>
    <w:rsid w:val="00656004"/>
    <w:rsid w:val="00656835"/>
    <w:rsid w:val="006576F1"/>
    <w:rsid w:val="00660A1B"/>
    <w:rsid w:val="00661E9B"/>
    <w:rsid w:val="00665A62"/>
    <w:rsid w:val="00666C45"/>
    <w:rsid w:val="00673D76"/>
    <w:rsid w:val="00675479"/>
    <w:rsid w:val="00675BD7"/>
    <w:rsid w:val="00676246"/>
    <w:rsid w:val="0067708D"/>
    <w:rsid w:val="006808BD"/>
    <w:rsid w:val="0068141A"/>
    <w:rsid w:val="00682217"/>
    <w:rsid w:val="006824A7"/>
    <w:rsid w:val="0068340F"/>
    <w:rsid w:val="00695171"/>
    <w:rsid w:val="00697C8A"/>
    <w:rsid w:val="006A0ED8"/>
    <w:rsid w:val="006A1C64"/>
    <w:rsid w:val="006A686A"/>
    <w:rsid w:val="006B4744"/>
    <w:rsid w:val="006B4EB3"/>
    <w:rsid w:val="006B53C1"/>
    <w:rsid w:val="006B6307"/>
    <w:rsid w:val="006C4178"/>
    <w:rsid w:val="006C4B90"/>
    <w:rsid w:val="006C6709"/>
    <w:rsid w:val="006D1A82"/>
    <w:rsid w:val="006D1D6E"/>
    <w:rsid w:val="006D20C3"/>
    <w:rsid w:val="006D53A2"/>
    <w:rsid w:val="006D53EF"/>
    <w:rsid w:val="006D6618"/>
    <w:rsid w:val="006D70C3"/>
    <w:rsid w:val="006D7412"/>
    <w:rsid w:val="006E2CA4"/>
    <w:rsid w:val="006E4339"/>
    <w:rsid w:val="006E6909"/>
    <w:rsid w:val="006F5071"/>
    <w:rsid w:val="006F6730"/>
    <w:rsid w:val="00700540"/>
    <w:rsid w:val="00700A56"/>
    <w:rsid w:val="00700D4A"/>
    <w:rsid w:val="00701E53"/>
    <w:rsid w:val="00706EA3"/>
    <w:rsid w:val="007072E7"/>
    <w:rsid w:val="00707628"/>
    <w:rsid w:val="00711AEA"/>
    <w:rsid w:val="00711E1A"/>
    <w:rsid w:val="00713A1A"/>
    <w:rsid w:val="00724059"/>
    <w:rsid w:val="00731786"/>
    <w:rsid w:val="0073563B"/>
    <w:rsid w:val="007373F2"/>
    <w:rsid w:val="00737933"/>
    <w:rsid w:val="00737935"/>
    <w:rsid w:val="007412C3"/>
    <w:rsid w:val="00746962"/>
    <w:rsid w:val="00750855"/>
    <w:rsid w:val="0075288F"/>
    <w:rsid w:val="007552B4"/>
    <w:rsid w:val="00760E60"/>
    <w:rsid w:val="00762D69"/>
    <w:rsid w:val="00763ADD"/>
    <w:rsid w:val="00764E53"/>
    <w:rsid w:val="007676C8"/>
    <w:rsid w:val="00774861"/>
    <w:rsid w:val="00775348"/>
    <w:rsid w:val="007833D1"/>
    <w:rsid w:val="00784158"/>
    <w:rsid w:val="00784F02"/>
    <w:rsid w:val="00787EC9"/>
    <w:rsid w:val="00787F88"/>
    <w:rsid w:val="00792710"/>
    <w:rsid w:val="00794476"/>
    <w:rsid w:val="00797E36"/>
    <w:rsid w:val="007A0823"/>
    <w:rsid w:val="007A29E5"/>
    <w:rsid w:val="007A2C46"/>
    <w:rsid w:val="007A348F"/>
    <w:rsid w:val="007A53BE"/>
    <w:rsid w:val="007B021F"/>
    <w:rsid w:val="007B144D"/>
    <w:rsid w:val="007C1F29"/>
    <w:rsid w:val="007C4B21"/>
    <w:rsid w:val="007D0B06"/>
    <w:rsid w:val="007D16FE"/>
    <w:rsid w:val="007D3D44"/>
    <w:rsid w:val="007D711E"/>
    <w:rsid w:val="007E3344"/>
    <w:rsid w:val="007E33AA"/>
    <w:rsid w:val="007E7A32"/>
    <w:rsid w:val="007F26D9"/>
    <w:rsid w:val="007F7E93"/>
    <w:rsid w:val="008003D6"/>
    <w:rsid w:val="00805D40"/>
    <w:rsid w:val="0080663A"/>
    <w:rsid w:val="008102E8"/>
    <w:rsid w:val="00812579"/>
    <w:rsid w:val="008161CA"/>
    <w:rsid w:val="00823FA6"/>
    <w:rsid w:val="00824928"/>
    <w:rsid w:val="008254C9"/>
    <w:rsid w:val="008273C6"/>
    <w:rsid w:val="00832832"/>
    <w:rsid w:val="00834F2F"/>
    <w:rsid w:val="008443FA"/>
    <w:rsid w:val="008449C7"/>
    <w:rsid w:val="00847D69"/>
    <w:rsid w:val="00850322"/>
    <w:rsid w:val="00851A18"/>
    <w:rsid w:val="00851D14"/>
    <w:rsid w:val="00853BF0"/>
    <w:rsid w:val="00855CDD"/>
    <w:rsid w:val="00856175"/>
    <w:rsid w:val="008576CF"/>
    <w:rsid w:val="00861B1F"/>
    <w:rsid w:val="00864764"/>
    <w:rsid w:val="0087355D"/>
    <w:rsid w:val="00873CEE"/>
    <w:rsid w:val="00874AC4"/>
    <w:rsid w:val="00881990"/>
    <w:rsid w:val="0088368D"/>
    <w:rsid w:val="008837D4"/>
    <w:rsid w:val="00884D14"/>
    <w:rsid w:val="0088685C"/>
    <w:rsid w:val="00887050"/>
    <w:rsid w:val="00895496"/>
    <w:rsid w:val="0089776B"/>
    <w:rsid w:val="008A33BA"/>
    <w:rsid w:val="008A538E"/>
    <w:rsid w:val="008B04DB"/>
    <w:rsid w:val="008C0A4C"/>
    <w:rsid w:val="008C375C"/>
    <w:rsid w:val="008C3F88"/>
    <w:rsid w:val="008C6057"/>
    <w:rsid w:val="008D1A1F"/>
    <w:rsid w:val="008D2234"/>
    <w:rsid w:val="008D3B41"/>
    <w:rsid w:val="008D5528"/>
    <w:rsid w:val="008E0000"/>
    <w:rsid w:val="008E0945"/>
    <w:rsid w:val="008E48BE"/>
    <w:rsid w:val="008E57A2"/>
    <w:rsid w:val="008E700C"/>
    <w:rsid w:val="008F0378"/>
    <w:rsid w:val="008F04BE"/>
    <w:rsid w:val="008F4A17"/>
    <w:rsid w:val="008F6292"/>
    <w:rsid w:val="008F735B"/>
    <w:rsid w:val="00900E0A"/>
    <w:rsid w:val="00904AB4"/>
    <w:rsid w:val="009053F3"/>
    <w:rsid w:val="009056F3"/>
    <w:rsid w:val="009112AF"/>
    <w:rsid w:val="009116F1"/>
    <w:rsid w:val="00914916"/>
    <w:rsid w:val="00917598"/>
    <w:rsid w:val="00920D49"/>
    <w:rsid w:val="009215D3"/>
    <w:rsid w:val="009219DB"/>
    <w:rsid w:val="00924172"/>
    <w:rsid w:val="00924F7B"/>
    <w:rsid w:val="00926FD1"/>
    <w:rsid w:val="009274EB"/>
    <w:rsid w:val="00927F7B"/>
    <w:rsid w:val="009311DE"/>
    <w:rsid w:val="00936EFF"/>
    <w:rsid w:val="00940F15"/>
    <w:rsid w:val="00950B0E"/>
    <w:rsid w:val="00953A1E"/>
    <w:rsid w:val="00953B2B"/>
    <w:rsid w:val="009543D3"/>
    <w:rsid w:val="009545ED"/>
    <w:rsid w:val="00957A96"/>
    <w:rsid w:val="00962A2B"/>
    <w:rsid w:val="00962F63"/>
    <w:rsid w:val="00966025"/>
    <w:rsid w:val="00966ADD"/>
    <w:rsid w:val="00966D09"/>
    <w:rsid w:val="009703A5"/>
    <w:rsid w:val="009705DD"/>
    <w:rsid w:val="00970EFE"/>
    <w:rsid w:val="00972052"/>
    <w:rsid w:val="00972683"/>
    <w:rsid w:val="0097474B"/>
    <w:rsid w:val="009751CF"/>
    <w:rsid w:val="009777F6"/>
    <w:rsid w:val="00981AF9"/>
    <w:rsid w:val="00982486"/>
    <w:rsid w:val="0098763E"/>
    <w:rsid w:val="009906ED"/>
    <w:rsid w:val="0099423E"/>
    <w:rsid w:val="009955AD"/>
    <w:rsid w:val="00997117"/>
    <w:rsid w:val="009A2065"/>
    <w:rsid w:val="009A455F"/>
    <w:rsid w:val="009A46B7"/>
    <w:rsid w:val="009A4DA9"/>
    <w:rsid w:val="009A7040"/>
    <w:rsid w:val="009B0D29"/>
    <w:rsid w:val="009B1446"/>
    <w:rsid w:val="009B28E6"/>
    <w:rsid w:val="009B4666"/>
    <w:rsid w:val="009B466E"/>
    <w:rsid w:val="009B6B70"/>
    <w:rsid w:val="009C1693"/>
    <w:rsid w:val="009C2DEB"/>
    <w:rsid w:val="009C4BBE"/>
    <w:rsid w:val="009C75B3"/>
    <w:rsid w:val="009D1392"/>
    <w:rsid w:val="009D3F80"/>
    <w:rsid w:val="009D435C"/>
    <w:rsid w:val="009D4EFE"/>
    <w:rsid w:val="009D51E7"/>
    <w:rsid w:val="009D5351"/>
    <w:rsid w:val="009D5BDB"/>
    <w:rsid w:val="009D6089"/>
    <w:rsid w:val="009D77C2"/>
    <w:rsid w:val="009E0DBC"/>
    <w:rsid w:val="009E1061"/>
    <w:rsid w:val="009E2496"/>
    <w:rsid w:val="009E36DE"/>
    <w:rsid w:val="009E3F61"/>
    <w:rsid w:val="009E40B5"/>
    <w:rsid w:val="009E64C6"/>
    <w:rsid w:val="009F2C3B"/>
    <w:rsid w:val="009F7528"/>
    <w:rsid w:val="00A04DBA"/>
    <w:rsid w:val="00A223AF"/>
    <w:rsid w:val="00A22CEE"/>
    <w:rsid w:val="00A24A11"/>
    <w:rsid w:val="00A33973"/>
    <w:rsid w:val="00A421D0"/>
    <w:rsid w:val="00A42491"/>
    <w:rsid w:val="00A4610A"/>
    <w:rsid w:val="00A53356"/>
    <w:rsid w:val="00A557F8"/>
    <w:rsid w:val="00A60CA1"/>
    <w:rsid w:val="00A6407E"/>
    <w:rsid w:val="00A6582A"/>
    <w:rsid w:val="00A67D39"/>
    <w:rsid w:val="00A71FED"/>
    <w:rsid w:val="00A73F31"/>
    <w:rsid w:val="00A740D7"/>
    <w:rsid w:val="00A748F9"/>
    <w:rsid w:val="00A75AC3"/>
    <w:rsid w:val="00A77524"/>
    <w:rsid w:val="00A828D1"/>
    <w:rsid w:val="00A83334"/>
    <w:rsid w:val="00A851BF"/>
    <w:rsid w:val="00A92A94"/>
    <w:rsid w:val="00A93890"/>
    <w:rsid w:val="00A93BCA"/>
    <w:rsid w:val="00A93CC0"/>
    <w:rsid w:val="00AA2130"/>
    <w:rsid w:val="00AA376D"/>
    <w:rsid w:val="00AB1513"/>
    <w:rsid w:val="00AB225F"/>
    <w:rsid w:val="00AB2CD2"/>
    <w:rsid w:val="00AB3102"/>
    <w:rsid w:val="00AB5409"/>
    <w:rsid w:val="00AB7F2E"/>
    <w:rsid w:val="00AC230F"/>
    <w:rsid w:val="00AC253B"/>
    <w:rsid w:val="00AC5BBA"/>
    <w:rsid w:val="00AC6AD4"/>
    <w:rsid w:val="00AC6E1D"/>
    <w:rsid w:val="00AD4421"/>
    <w:rsid w:val="00AD6DA5"/>
    <w:rsid w:val="00AD6FE7"/>
    <w:rsid w:val="00AE084F"/>
    <w:rsid w:val="00AE4DAF"/>
    <w:rsid w:val="00AE6AA2"/>
    <w:rsid w:val="00AF4780"/>
    <w:rsid w:val="00AF4AAD"/>
    <w:rsid w:val="00B01940"/>
    <w:rsid w:val="00B031CC"/>
    <w:rsid w:val="00B03D54"/>
    <w:rsid w:val="00B04A25"/>
    <w:rsid w:val="00B05439"/>
    <w:rsid w:val="00B12937"/>
    <w:rsid w:val="00B13392"/>
    <w:rsid w:val="00B14118"/>
    <w:rsid w:val="00B14F5D"/>
    <w:rsid w:val="00B150BC"/>
    <w:rsid w:val="00B17538"/>
    <w:rsid w:val="00B20412"/>
    <w:rsid w:val="00B21CD5"/>
    <w:rsid w:val="00B23FE1"/>
    <w:rsid w:val="00B24190"/>
    <w:rsid w:val="00B25520"/>
    <w:rsid w:val="00B25EF1"/>
    <w:rsid w:val="00B26451"/>
    <w:rsid w:val="00B2683C"/>
    <w:rsid w:val="00B275FE"/>
    <w:rsid w:val="00B27BD1"/>
    <w:rsid w:val="00B3098D"/>
    <w:rsid w:val="00B42BFA"/>
    <w:rsid w:val="00B45C34"/>
    <w:rsid w:val="00B46DB2"/>
    <w:rsid w:val="00B50334"/>
    <w:rsid w:val="00B52253"/>
    <w:rsid w:val="00B53ABB"/>
    <w:rsid w:val="00B53CA1"/>
    <w:rsid w:val="00B54144"/>
    <w:rsid w:val="00B56424"/>
    <w:rsid w:val="00B56805"/>
    <w:rsid w:val="00B611B2"/>
    <w:rsid w:val="00B61CEA"/>
    <w:rsid w:val="00B64E89"/>
    <w:rsid w:val="00B6641B"/>
    <w:rsid w:val="00B6683F"/>
    <w:rsid w:val="00B72412"/>
    <w:rsid w:val="00B73715"/>
    <w:rsid w:val="00B7572F"/>
    <w:rsid w:val="00B776E7"/>
    <w:rsid w:val="00B83A01"/>
    <w:rsid w:val="00B907B6"/>
    <w:rsid w:val="00B909DA"/>
    <w:rsid w:val="00B93C92"/>
    <w:rsid w:val="00B93CB3"/>
    <w:rsid w:val="00B965B9"/>
    <w:rsid w:val="00BA026D"/>
    <w:rsid w:val="00BA13C6"/>
    <w:rsid w:val="00BA610F"/>
    <w:rsid w:val="00BA7F25"/>
    <w:rsid w:val="00BB1FCA"/>
    <w:rsid w:val="00BB43DF"/>
    <w:rsid w:val="00BB6E10"/>
    <w:rsid w:val="00BB77DA"/>
    <w:rsid w:val="00BC0CC7"/>
    <w:rsid w:val="00BC17C5"/>
    <w:rsid w:val="00BC2B3F"/>
    <w:rsid w:val="00BC2E45"/>
    <w:rsid w:val="00BC4A5F"/>
    <w:rsid w:val="00BC50EC"/>
    <w:rsid w:val="00BC5EEE"/>
    <w:rsid w:val="00BC72DC"/>
    <w:rsid w:val="00BD2E52"/>
    <w:rsid w:val="00BD3C09"/>
    <w:rsid w:val="00BD4C0B"/>
    <w:rsid w:val="00BD74A6"/>
    <w:rsid w:val="00BE2EB8"/>
    <w:rsid w:val="00BE3C27"/>
    <w:rsid w:val="00BE4E2A"/>
    <w:rsid w:val="00BF041F"/>
    <w:rsid w:val="00BF4637"/>
    <w:rsid w:val="00BF5DD8"/>
    <w:rsid w:val="00C028FC"/>
    <w:rsid w:val="00C0611D"/>
    <w:rsid w:val="00C10B6A"/>
    <w:rsid w:val="00C12AA4"/>
    <w:rsid w:val="00C15027"/>
    <w:rsid w:val="00C1644C"/>
    <w:rsid w:val="00C20929"/>
    <w:rsid w:val="00C21BC9"/>
    <w:rsid w:val="00C22AFA"/>
    <w:rsid w:val="00C23834"/>
    <w:rsid w:val="00C23B9A"/>
    <w:rsid w:val="00C25E7A"/>
    <w:rsid w:val="00C34698"/>
    <w:rsid w:val="00C353EF"/>
    <w:rsid w:val="00C3672F"/>
    <w:rsid w:val="00C40542"/>
    <w:rsid w:val="00C42D87"/>
    <w:rsid w:val="00C444F3"/>
    <w:rsid w:val="00C4742C"/>
    <w:rsid w:val="00C47724"/>
    <w:rsid w:val="00C5285E"/>
    <w:rsid w:val="00C56DD7"/>
    <w:rsid w:val="00C64B27"/>
    <w:rsid w:val="00C67790"/>
    <w:rsid w:val="00C6780F"/>
    <w:rsid w:val="00C83A45"/>
    <w:rsid w:val="00C85CAB"/>
    <w:rsid w:val="00C85E87"/>
    <w:rsid w:val="00C917EF"/>
    <w:rsid w:val="00C9218A"/>
    <w:rsid w:val="00C979F9"/>
    <w:rsid w:val="00CB0D30"/>
    <w:rsid w:val="00CB298D"/>
    <w:rsid w:val="00CB4038"/>
    <w:rsid w:val="00CB70EE"/>
    <w:rsid w:val="00CC02AF"/>
    <w:rsid w:val="00CC23E7"/>
    <w:rsid w:val="00CC463F"/>
    <w:rsid w:val="00CC7E61"/>
    <w:rsid w:val="00CD3D7E"/>
    <w:rsid w:val="00CD7683"/>
    <w:rsid w:val="00CE2D6D"/>
    <w:rsid w:val="00CE3642"/>
    <w:rsid w:val="00CE4386"/>
    <w:rsid w:val="00CE4433"/>
    <w:rsid w:val="00CE51FD"/>
    <w:rsid w:val="00CE6A98"/>
    <w:rsid w:val="00CE785D"/>
    <w:rsid w:val="00CF012C"/>
    <w:rsid w:val="00CF0629"/>
    <w:rsid w:val="00CF1CDD"/>
    <w:rsid w:val="00CF72BE"/>
    <w:rsid w:val="00D00A05"/>
    <w:rsid w:val="00D02D1F"/>
    <w:rsid w:val="00D03634"/>
    <w:rsid w:val="00D062D3"/>
    <w:rsid w:val="00D071D6"/>
    <w:rsid w:val="00D07E75"/>
    <w:rsid w:val="00D11E0F"/>
    <w:rsid w:val="00D139A2"/>
    <w:rsid w:val="00D163FA"/>
    <w:rsid w:val="00D25708"/>
    <w:rsid w:val="00D2717B"/>
    <w:rsid w:val="00D32401"/>
    <w:rsid w:val="00D33017"/>
    <w:rsid w:val="00D3310F"/>
    <w:rsid w:val="00D35C1D"/>
    <w:rsid w:val="00D366F8"/>
    <w:rsid w:val="00D37010"/>
    <w:rsid w:val="00D412B8"/>
    <w:rsid w:val="00D43F9B"/>
    <w:rsid w:val="00D47CC9"/>
    <w:rsid w:val="00D52941"/>
    <w:rsid w:val="00D52D1B"/>
    <w:rsid w:val="00D570BA"/>
    <w:rsid w:val="00D61D57"/>
    <w:rsid w:val="00D63066"/>
    <w:rsid w:val="00D770A5"/>
    <w:rsid w:val="00D8606A"/>
    <w:rsid w:val="00D9144F"/>
    <w:rsid w:val="00D941F2"/>
    <w:rsid w:val="00D948E8"/>
    <w:rsid w:val="00D9710F"/>
    <w:rsid w:val="00DA381D"/>
    <w:rsid w:val="00DA6678"/>
    <w:rsid w:val="00DA6F54"/>
    <w:rsid w:val="00DB0585"/>
    <w:rsid w:val="00DB258D"/>
    <w:rsid w:val="00DB3AB9"/>
    <w:rsid w:val="00DB55A1"/>
    <w:rsid w:val="00DB595B"/>
    <w:rsid w:val="00DC5C1E"/>
    <w:rsid w:val="00DD03E9"/>
    <w:rsid w:val="00DE0640"/>
    <w:rsid w:val="00DE1C02"/>
    <w:rsid w:val="00DE214E"/>
    <w:rsid w:val="00DE3DA3"/>
    <w:rsid w:val="00DE4170"/>
    <w:rsid w:val="00DE4F43"/>
    <w:rsid w:val="00DE6269"/>
    <w:rsid w:val="00DE721B"/>
    <w:rsid w:val="00DF5D5D"/>
    <w:rsid w:val="00DF6B1E"/>
    <w:rsid w:val="00E011E8"/>
    <w:rsid w:val="00E0178B"/>
    <w:rsid w:val="00E01AEA"/>
    <w:rsid w:val="00E01C03"/>
    <w:rsid w:val="00E02753"/>
    <w:rsid w:val="00E030CF"/>
    <w:rsid w:val="00E036F7"/>
    <w:rsid w:val="00E058F8"/>
    <w:rsid w:val="00E117BD"/>
    <w:rsid w:val="00E120E9"/>
    <w:rsid w:val="00E14BD5"/>
    <w:rsid w:val="00E15191"/>
    <w:rsid w:val="00E15378"/>
    <w:rsid w:val="00E154B4"/>
    <w:rsid w:val="00E167A5"/>
    <w:rsid w:val="00E169B2"/>
    <w:rsid w:val="00E16AC6"/>
    <w:rsid w:val="00E16D98"/>
    <w:rsid w:val="00E221A0"/>
    <w:rsid w:val="00E235F6"/>
    <w:rsid w:val="00E26F7A"/>
    <w:rsid w:val="00E27227"/>
    <w:rsid w:val="00E30249"/>
    <w:rsid w:val="00E31260"/>
    <w:rsid w:val="00E320B0"/>
    <w:rsid w:val="00E36888"/>
    <w:rsid w:val="00E373D3"/>
    <w:rsid w:val="00E42BB2"/>
    <w:rsid w:val="00E45B80"/>
    <w:rsid w:val="00E45F11"/>
    <w:rsid w:val="00E51429"/>
    <w:rsid w:val="00E5314F"/>
    <w:rsid w:val="00E57A80"/>
    <w:rsid w:val="00E6068D"/>
    <w:rsid w:val="00E6161F"/>
    <w:rsid w:val="00E636AF"/>
    <w:rsid w:val="00E64136"/>
    <w:rsid w:val="00E64677"/>
    <w:rsid w:val="00E71E04"/>
    <w:rsid w:val="00E72B37"/>
    <w:rsid w:val="00E75B24"/>
    <w:rsid w:val="00E76C4C"/>
    <w:rsid w:val="00E87788"/>
    <w:rsid w:val="00E90883"/>
    <w:rsid w:val="00E934BC"/>
    <w:rsid w:val="00E9456A"/>
    <w:rsid w:val="00E96EF2"/>
    <w:rsid w:val="00EA0D5C"/>
    <w:rsid w:val="00EA0DB0"/>
    <w:rsid w:val="00EA7350"/>
    <w:rsid w:val="00EB0753"/>
    <w:rsid w:val="00EB3717"/>
    <w:rsid w:val="00EB47E0"/>
    <w:rsid w:val="00EB69BA"/>
    <w:rsid w:val="00EC2763"/>
    <w:rsid w:val="00EC3993"/>
    <w:rsid w:val="00EC6671"/>
    <w:rsid w:val="00EC7187"/>
    <w:rsid w:val="00ED0922"/>
    <w:rsid w:val="00ED1285"/>
    <w:rsid w:val="00ED1D3C"/>
    <w:rsid w:val="00ED1DAB"/>
    <w:rsid w:val="00ED295E"/>
    <w:rsid w:val="00ED2C0F"/>
    <w:rsid w:val="00ED48B5"/>
    <w:rsid w:val="00EE1739"/>
    <w:rsid w:val="00EE214F"/>
    <w:rsid w:val="00EE5544"/>
    <w:rsid w:val="00EE6C53"/>
    <w:rsid w:val="00EF31D8"/>
    <w:rsid w:val="00EF631B"/>
    <w:rsid w:val="00EF6663"/>
    <w:rsid w:val="00EF6919"/>
    <w:rsid w:val="00EF6E4E"/>
    <w:rsid w:val="00EF73CA"/>
    <w:rsid w:val="00F000E1"/>
    <w:rsid w:val="00F02088"/>
    <w:rsid w:val="00F04E71"/>
    <w:rsid w:val="00F04F38"/>
    <w:rsid w:val="00F05C75"/>
    <w:rsid w:val="00F06165"/>
    <w:rsid w:val="00F122AC"/>
    <w:rsid w:val="00F12324"/>
    <w:rsid w:val="00F14716"/>
    <w:rsid w:val="00F21BE7"/>
    <w:rsid w:val="00F24B81"/>
    <w:rsid w:val="00F24F5D"/>
    <w:rsid w:val="00F262DD"/>
    <w:rsid w:val="00F26A1D"/>
    <w:rsid w:val="00F27C1C"/>
    <w:rsid w:val="00F3505E"/>
    <w:rsid w:val="00F36364"/>
    <w:rsid w:val="00F372B2"/>
    <w:rsid w:val="00F415D4"/>
    <w:rsid w:val="00F41A69"/>
    <w:rsid w:val="00F42F45"/>
    <w:rsid w:val="00F45488"/>
    <w:rsid w:val="00F46F26"/>
    <w:rsid w:val="00F5374F"/>
    <w:rsid w:val="00F56766"/>
    <w:rsid w:val="00F56CD5"/>
    <w:rsid w:val="00F616A6"/>
    <w:rsid w:val="00F624AF"/>
    <w:rsid w:val="00F72EAC"/>
    <w:rsid w:val="00F73899"/>
    <w:rsid w:val="00F75F47"/>
    <w:rsid w:val="00F76BD2"/>
    <w:rsid w:val="00F81389"/>
    <w:rsid w:val="00F81B20"/>
    <w:rsid w:val="00F86C73"/>
    <w:rsid w:val="00F87CBC"/>
    <w:rsid w:val="00F90B33"/>
    <w:rsid w:val="00FA2888"/>
    <w:rsid w:val="00FA2B79"/>
    <w:rsid w:val="00FA5295"/>
    <w:rsid w:val="00FB2094"/>
    <w:rsid w:val="00FB2792"/>
    <w:rsid w:val="00FB4BDD"/>
    <w:rsid w:val="00FC1093"/>
    <w:rsid w:val="00FC7F2B"/>
    <w:rsid w:val="00FD44EC"/>
    <w:rsid w:val="00FD6B79"/>
    <w:rsid w:val="00FE2133"/>
    <w:rsid w:val="00FE2C9A"/>
    <w:rsid w:val="00FE3272"/>
    <w:rsid w:val="00FE35E3"/>
    <w:rsid w:val="00FE3D43"/>
    <w:rsid w:val="00FE5C5D"/>
    <w:rsid w:val="00FE615E"/>
    <w:rsid w:val="00FF08AB"/>
    <w:rsid w:val="00FF3145"/>
    <w:rsid w:val="00FF5E14"/>
    <w:rsid w:val="00FF67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B1EACD0"/>
  <w15:docId w15:val="{1DCFDAFC-746B-42AC-A70D-B5EC1B9A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B4"/>
    <w:pPr>
      <w:widowControl w:val="0"/>
    </w:pPr>
  </w:style>
  <w:style w:type="paragraph" w:styleId="1">
    <w:name w:val="heading 1"/>
    <w:aliases w:val="NMP Heading 1,H1,h1,1st level"/>
    <w:basedOn w:val="a"/>
    <w:next w:val="a"/>
    <w:link w:val="10"/>
    <w:qFormat/>
    <w:rsid w:val="00C1644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Head2A,2,H2,h2,DO NOT USE_h2,h21,UNDERRUBRIK 1-2,2nd level,l2,Header 2"/>
    <w:basedOn w:val="a"/>
    <w:next w:val="a"/>
    <w:link w:val="20"/>
    <w:autoRedefine/>
    <w:qFormat/>
    <w:rsid w:val="009C2DEB"/>
    <w:pPr>
      <w:keepNext/>
      <w:widowControl/>
      <w:tabs>
        <w:tab w:val="num" w:pos="540"/>
      </w:tabs>
      <w:spacing w:before="240" w:after="240" w:line="280" w:lineRule="atLeast"/>
      <w:outlineLvl w:val="1"/>
    </w:pPr>
    <w:rPr>
      <w:rFonts w:ascii="Arial" w:eastAsia="MS Mincho" w:hAnsi="Arial" w:cs="Times New Roman"/>
      <w:b/>
      <w:kern w:val="0"/>
      <w:sz w:val="22"/>
      <w:lang w:val="en-GB" w:eastAsia="en-US"/>
    </w:rPr>
  </w:style>
  <w:style w:type="paragraph" w:styleId="3">
    <w:name w:val="heading 3"/>
    <w:aliases w:val="Underrubrik2,H3,h3,3"/>
    <w:basedOn w:val="a"/>
    <w:next w:val="a"/>
    <w:link w:val="30"/>
    <w:autoRedefine/>
    <w:qFormat/>
    <w:rsid w:val="009C2DEB"/>
    <w:pPr>
      <w:keepNext/>
      <w:widowControl/>
      <w:tabs>
        <w:tab w:val="left" w:pos="810"/>
      </w:tabs>
      <w:spacing w:before="60" w:after="240" w:line="240" w:lineRule="atLeast"/>
      <w:jc w:val="both"/>
      <w:outlineLvl w:val="2"/>
    </w:pPr>
    <w:rPr>
      <w:rFonts w:ascii="Arial" w:eastAsia="MS Mincho" w:hAnsi="Arial" w:cs="Times New Roman"/>
      <w:b/>
      <w:kern w:val="0"/>
      <w:sz w:val="20"/>
      <w:szCs w:val="20"/>
      <w:lang w:val="en-GB" w:eastAsia="en-US"/>
    </w:rPr>
  </w:style>
  <w:style w:type="paragraph" w:styleId="4">
    <w:name w:val="heading 4"/>
    <w:aliases w:val="h4,H4,H41,h41,H42,h42,H43,h43,H411,h411,H421,h421,H44,h44,H412,h412,H422,h422,H431,h431,H45,h45,H413,h413,H423,h423,H432,h432,H46,h46,H47,h47"/>
    <w:basedOn w:val="a"/>
    <w:next w:val="a"/>
    <w:link w:val="40"/>
    <w:autoRedefine/>
    <w:qFormat/>
    <w:rsid w:val="00957A96"/>
    <w:pPr>
      <w:keepNext/>
      <w:widowControl/>
      <w:tabs>
        <w:tab w:val="left" w:pos="1170"/>
      </w:tabs>
      <w:snapToGrid w:val="0"/>
      <w:spacing w:before="120"/>
      <w:ind w:left="357"/>
      <w:jc w:val="center"/>
      <w:outlineLvl w:val="3"/>
    </w:pPr>
    <w:rPr>
      <w:rFonts w:ascii="Arial" w:eastAsia="MS Mincho" w:hAnsi="Arial" w:cs="Times New Roman"/>
      <w:b/>
      <w:kern w:val="0"/>
      <w:sz w:val="20"/>
      <w:szCs w:val="20"/>
      <w:lang w:val="en-GB" w:eastAsia="en-US"/>
    </w:rPr>
  </w:style>
  <w:style w:type="paragraph" w:styleId="50">
    <w:name w:val="heading 5"/>
    <w:aliases w:val="h5,Heading5"/>
    <w:basedOn w:val="a"/>
    <w:next w:val="a"/>
    <w:link w:val="51"/>
    <w:qFormat/>
    <w:rsid w:val="009C2DEB"/>
    <w:pPr>
      <w:widowControl/>
      <w:tabs>
        <w:tab w:val="num" w:pos="1800"/>
      </w:tabs>
      <w:spacing w:before="60" w:line="280" w:lineRule="atLeast"/>
      <w:jc w:val="both"/>
      <w:outlineLvl w:val="4"/>
    </w:pPr>
    <w:rPr>
      <w:rFonts w:ascii="Arial" w:eastAsia="MS Mincho" w:hAnsi="Arial" w:cs="Arial"/>
      <w:b/>
      <w:bCs/>
      <w:i/>
      <w:iCs/>
      <w:kern w:val="0"/>
      <w:sz w:val="20"/>
      <w:szCs w:val="20"/>
      <w:lang w:val="en-GB" w:eastAsia="en-US"/>
    </w:rPr>
  </w:style>
  <w:style w:type="paragraph" w:styleId="6">
    <w:name w:val="heading 6"/>
    <w:basedOn w:val="a"/>
    <w:next w:val="a"/>
    <w:link w:val="60"/>
    <w:qFormat/>
    <w:rsid w:val="009C2DEB"/>
    <w:pPr>
      <w:widowControl/>
      <w:tabs>
        <w:tab w:val="num" w:pos="2160"/>
      </w:tabs>
      <w:spacing w:before="60" w:line="280" w:lineRule="atLeast"/>
      <w:jc w:val="both"/>
      <w:outlineLvl w:val="5"/>
    </w:pPr>
    <w:rPr>
      <w:rFonts w:ascii="Arial" w:eastAsia="MS Mincho" w:hAnsi="Arial" w:cs="Arial"/>
      <w:iCs/>
      <w:kern w:val="0"/>
      <w:sz w:val="20"/>
      <w:szCs w:val="20"/>
      <w:lang w:val="en-GB" w:eastAsia="en-US"/>
    </w:rPr>
  </w:style>
  <w:style w:type="paragraph" w:styleId="7">
    <w:name w:val="heading 7"/>
    <w:basedOn w:val="a"/>
    <w:next w:val="a"/>
    <w:link w:val="70"/>
    <w:qFormat/>
    <w:rsid w:val="009C2DEB"/>
    <w:pPr>
      <w:keepNext/>
      <w:widowControl/>
      <w:tabs>
        <w:tab w:val="num" w:pos="2520"/>
      </w:tabs>
      <w:spacing w:before="60" w:line="280" w:lineRule="atLeast"/>
      <w:outlineLvl w:val="6"/>
    </w:pPr>
    <w:rPr>
      <w:rFonts w:ascii="Arial" w:eastAsia="MS Mincho" w:hAnsi="Arial" w:cs="Arial"/>
      <w:i/>
      <w:iCs/>
      <w:kern w:val="0"/>
      <w:sz w:val="20"/>
      <w:szCs w:val="20"/>
      <w:lang w:val="en-GB" w:eastAsia="en-US"/>
    </w:rPr>
  </w:style>
  <w:style w:type="paragraph" w:styleId="8">
    <w:name w:val="heading 8"/>
    <w:basedOn w:val="a"/>
    <w:next w:val="a"/>
    <w:link w:val="80"/>
    <w:qFormat/>
    <w:rsid w:val="009C2DEB"/>
    <w:pPr>
      <w:widowControl/>
      <w:tabs>
        <w:tab w:val="num" w:pos="2880"/>
      </w:tabs>
      <w:spacing w:before="60" w:after="60" w:line="280" w:lineRule="atLeast"/>
      <w:jc w:val="both"/>
      <w:outlineLvl w:val="7"/>
    </w:pPr>
    <w:rPr>
      <w:rFonts w:ascii="Helvetica" w:eastAsia="MS Mincho" w:hAnsi="Helvetica" w:cs="Times New Roman"/>
      <w:bCs/>
      <w:iCs/>
      <w:kern w:val="0"/>
      <w:sz w:val="20"/>
      <w:szCs w:val="20"/>
      <w:lang w:val="en-GB" w:eastAsia="en-US"/>
    </w:rPr>
  </w:style>
  <w:style w:type="paragraph" w:styleId="9">
    <w:name w:val="heading 9"/>
    <w:basedOn w:val="a"/>
    <w:next w:val="a"/>
    <w:link w:val="90"/>
    <w:qFormat/>
    <w:rsid w:val="009C2DEB"/>
    <w:pPr>
      <w:widowControl/>
      <w:tabs>
        <w:tab w:val="num" w:pos="3240"/>
      </w:tabs>
      <w:spacing w:before="60" w:after="60" w:line="280" w:lineRule="atLeast"/>
      <w:jc w:val="both"/>
      <w:outlineLvl w:val="8"/>
    </w:pPr>
    <w:rPr>
      <w:rFonts w:ascii="Helvetica" w:eastAsia="MS Mincho" w:hAnsi="Helvetica" w:cs="Times New Roman"/>
      <w:i/>
      <w:iCs/>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列出段落,Lista1,?? ??,?????,????,列出段落1,中等深浅网格 1 - 着色 21,列表段落,¥¡¡¡¡ì¬º¥¹¥È¶ÎÂä,ÁÐ³ö¶ÎÂä,列表段落1,—ño’i—Ž,¥ê¥¹¥È¶ÎÂä"/>
    <w:basedOn w:val="a"/>
    <w:link w:val="a4"/>
    <w:uiPriority w:val="34"/>
    <w:qFormat/>
    <w:rsid w:val="006D7412"/>
    <w:pPr>
      <w:ind w:leftChars="200" w:left="480"/>
    </w:pPr>
  </w:style>
  <w:style w:type="character" w:customStyle="1" w:styleId="10">
    <w:name w:val="標題 1 字元"/>
    <w:aliases w:val="NMP Heading 1 字元,H1 字元,h1 字元,1st level 字元"/>
    <w:basedOn w:val="a0"/>
    <w:link w:val="1"/>
    <w:uiPriority w:val="9"/>
    <w:rsid w:val="00C1644C"/>
    <w:rPr>
      <w:rFonts w:asciiTheme="majorHAnsi" w:eastAsiaTheme="majorEastAsia" w:hAnsiTheme="majorHAnsi" w:cstheme="majorBidi"/>
      <w:b/>
      <w:bCs/>
      <w:kern w:val="52"/>
      <w:sz w:val="52"/>
      <w:szCs w:val="52"/>
    </w:rPr>
  </w:style>
  <w:style w:type="paragraph" w:styleId="a5">
    <w:name w:val="Title"/>
    <w:basedOn w:val="a"/>
    <w:next w:val="a"/>
    <w:link w:val="a6"/>
    <w:uiPriority w:val="10"/>
    <w:qFormat/>
    <w:rsid w:val="00FE2133"/>
    <w:pPr>
      <w:spacing w:before="240" w:after="60"/>
      <w:jc w:val="center"/>
      <w:outlineLvl w:val="0"/>
    </w:pPr>
    <w:rPr>
      <w:rFonts w:asciiTheme="majorHAnsi" w:eastAsia="Times New Roman" w:hAnsiTheme="majorHAnsi" w:cstheme="majorBidi"/>
      <w:b/>
      <w:bCs/>
      <w:sz w:val="32"/>
      <w:szCs w:val="32"/>
    </w:rPr>
  </w:style>
  <w:style w:type="character" w:customStyle="1" w:styleId="a6">
    <w:name w:val="標題 字元"/>
    <w:basedOn w:val="a0"/>
    <w:link w:val="a5"/>
    <w:uiPriority w:val="10"/>
    <w:rsid w:val="00FE2133"/>
    <w:rPr>
      <w:rFonts w:asciiTheme="majorHAnsi" w:eastAsia="Times New Roman" w:hAnsiTheme="majorHAnsi" w:cstheme="majorBidi"/>
      <w:b/>
      <w:bCs/>
      <w:sz w:val="32"/>
      <w:szCs w:val="32"/>
    </w:rPr>
  </w:style>
  <w:style w:type="character" w:customStyle="1" w:styleId="20">
    <w:name w:val="標題 2 字元"/>
    <w:aliases w:val="Head2A 字元,2 字元,H2 字元,h2 字元,DO NOT USE_h2 字元,h21 字元,UNDERRUBRIK 1-2 字元,2nd level 字元,l2 字元,Header 2 字元"/>
    <w:basedOn w:val="a0"/>
    <w:link w:val="2"/>
    <w:rsid w:val="009C2DEB"/>
    <w:rPr>
      <w:rFonts w:ascii="Arial" w:eastAsia="MS Mincho" w:hAnsi="Arial" w:cs="Times New Roman"/>
      <w:b/>
      <w:kern w:val="0"/>
      <w:sz w:val="22"/>
      <w:lang w:val="en-GB" w:eastAsia="en-US"/>
    </w:rPr>
  </w:style>
  <w:style w:type="character" w:customStyle="1" w:styleId="30">
    <w:name w:val="標題 3 字元"/>
    <w:aliases w:val="Underrubrik2 字元,H3 字元,h3 字元,3 字元"/>
    <w:basedOn w:val="a0"/>
    <w:link w:val="3"/>
    <w:rsid w:val="009C2DEB"/>
    <w:rPr>
      <w:rFonts w:ascii="Arial" w:eastAsia="MS Mincho" w:hAnsi="Arial" w:cs="Times New Roman"/>
      <w:b/>
      <w:kern w:val="0"/>
      <w:sz w:val="20"/>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957A96"/>
    <w:rPr>
      <w:rFonts w:ascii="Arial" w:eastAsia="MS Mincho" w:hAnsi="Arial" w:cs="Times New Roman"/>
      <w:b/>
      <w:kern w:val="0"/>
      <w:sz w:val="20"/>
      <w:szCs w:val="20"/>
      <w:lang w:val="en-GB" w:eastAsia="en-US"/>
    </w:rPr>
  </w:style>
  <w:style w:type="character" w:customStyle="1" w:styleId="51">
    <w:name w:val="標題 5 字元"/>
    <w:aliases w:val="h5 字元,Heading5 字元"/>
    <w:basedOn w:val="a0"/>
    <w:link w:val="50"/>
    <w:rsid w:val="009C2DEB"/>
    <w:rPr>
      <w:rFonts w:ascii="Arial" w:eastAsia="MS Mincho" w:hAnsi="Arial" w:cs="Arial"/>
      <w:b/>
      <w:bCs/>
      <w:i/>
      <w:iCs/>
      <w:kern w:val="0"/>
      <w:sz w:val="20"/>
      <w:szCs w:val="20"/>
      <w:lang w:val="en-GB" w:eastAsia="en-US"/>
    </w:rPr>
  </w:style>
  <w:style w:type="character" w:customStyle="1" w:styleId="60">
    <w:name w:val="標題 6 字元"/>
    <w:basedOn w:val="a0"/>
    <w:link w:val="6"/>
    <w:rsid w:val="009C2DEB"/>
    <w:rPr>
      <w:rFonts w:ascii="Arial" w:eastAsia="MS Mincho" w:hAnsi="Arial" w:cs="Arial"/>
      <w:iCs/>
      <w:kern w:val="0"/>
      <w:sz w:val="20"/>
      <w:szCs w:val="20"/>
      <w:lang w:val="en-GB" w:eastAsia="en-US"/>
    </w:rPr>
  </w:style>
  <w:style w:type="character" w:customStyle="1" w:styleId="70">
    <w:name w:val="標題 7 字元"/>
    <w:basedOn w:val="a0"/>
    <w:link w:val="7"/>
    <w:rsid w:val="009C2DEB"/>
    <w:rPr>
      <w:rFonts w:ascii="Arial" w:eastAsia="MS Mincho" w:hAnsi="Arial" w:cs="Arial"/>
      <w:i/>
      <w:iCs/>
      <w:kern w:val="0"/>
      <w:sz w:val="20"/>
      <w:szCs w:val="20"/>
      <w:lang w:val="en-GB" w:eastAsia="en-US"/>
    </w:rPr>
  </w:style>
  <w:style w:type="character" w:customStyle="1" w:styleId="80">
    <w:name w:val="標題 8 字元"/>
    <w:basedOn w:val="a0"/>
    <w:link w:val="8"/>
    <w:rsid w:val="009C2DEB"/>
    <w:rPr>
      <w:rFonts w:ascii="Helvetica" w:eastAsia="MS Mincho" w:hAnsi="Helvetica" w:cs="Times New Roman"/>
      <w:bCs/>
      <w:iCs/>
      <w:kern w:val="0"/>
      <w:sz w:val="20"/>
      <w:szCs w:val="20"/>
      <w:lang w:val="en-GB" w:eastAsia="en-US"/>
    </w:rPr>
  </w:style>
  <w:style w:type="character" w:customStyle="1" w:styleId="90">
    <w:name w:val="標題 9 字元"/>
    <w:basedOn w:val="a0"/>
    <w:link w:val="9"/>
    <w:rsid w:val="009C2DEB"/>
    <w:rPr>
      <w:rFonts w:ascii="Helvetica" w:eastAsia="MS Mincho" w:hAnsi="Helvetica" w:cs="Times New Roman"/>
      <w:i/>
      <w:iCs/>
      <w:kern w:val="0"/>
      <w:sz w:val="20"/>
      <w:szCs w:val="20"/>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8"/>
    <w:unhideWhenUsed/>
    <w:rsid w:val="00B56805"/>
    <w:pPr>
      <w:tabs>
        <w:tab w:val="center" w:pos="4153"/>
        <w:tab w:val="right" w:pos="8306"/>
      </w:tabs>
      <w:snapToGrid w:val="0"/>
    </w:pPr>
    <w:rPr>
      <w:sz w:val="20"/>
      <w:szCs w:val="20"/>
    </w:r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7"/>
    <w:rsid w:val="00B56805"/>
    <w:rPr>
      <w:sz w:val="20"/>
      <w:szCs w:val="20"/>
    </w:rPr>
  </w:style>
  <w:style w:type="paragraph" w:styleId="a9">
    <w:name w:val="footer"/>
    <w:basedOn w:val="a"/>
    <w:link w:val="aa"/>
    <w:uiPriority w:val="99"/>
    <w:unhideWhenUsed/>
    <w:rsid w:val="00B56805"/>
    <w:pPr>
      <w:tabs>
        <w:tab w:val="center" w:pos="4153"/>
        <w:tab w:val="right" w:pos="8306"/>
      </w:tabs>
      <w:snapToGrid w:val="0"/>
    </w:pPr>
    <w:rPr>
      <w:sz w:val="20"/>
      <w:szCs w:val="20"/>
    </w:rPr>
  </w:style>
  <w:style w:type="character" w:customStyle="1" w:styleId="aa">
    <w:name w:val="頁尾 字元"/>
    <w:basedOn w:val="a0"/>
    <w:link w:val="a9"/>
    <w:uiPriority w:val="99"/>
    <w:rsid w:val="00B56805"/>
    <w:rPr>
      <w:sz w:val="20"/>
      <w:szCs w:val="20"/>
    </w:rPr>
  </w:style>
  <w:style w:type="paragraph" w:styleId="ab">
    <w:name w:val="Balloon Text"/>
    <w:basedOn w:val="a"/>
    <w:link w:val="ac"/>
    <w:uiPriority w:val="99"/>
    <w:semiHidden/>
    <w:unhideWhenUsed/>
    <w:rsid w:val="00EA0D5C"/>
    <w:rPr>
      <w:rFonts w:asciiTheme="majorHAnsi" w:eastAsiaTheme="majorEastAsia" w:hAnsiTheme="majorHAnsi" w:cstheme="majorBidi"/>
      <w:sz w:val="16"/>
      <w:szCs w:val="16"/>
    </w:rPr>
  </w:style>
  <w:style w:type="character" w:customStyle="1" w:styleId="ac">
    <w:name w:val="註解方塊文字 字元"/>
    <w:basedOn w:val="a0"/>
    <w:link w:val="ab"/>
    <w:uiPriority w:val="99"/>
    <w:semiHidden/>
    <w:rsid w:val="00EA0D5C"/>
    <w:rPr>
      <w:rFonts w:asciiTheme="majorHAnsi" w:eastAsiaTheme="majorEastAsia" w:hAnsiTheme="majorHAnsi" w:cstheme="majorBidi"/>
      <w:sz w:val="16"/>
      <w:szCs w:val="16"/>
    </w:rPr>
  </w:style>
  <w:style w:type="paragraph" w:customStyle="1" w:styleId="Figure">
    <w:name w:val="Figure"/>
    <w:basedOn w:val="a"/>
    <w:autoRedefine/>
    <w:rsid w:val="00E6068D"/>
    <w:pPr>
      <w:widowControl/>
      <w:spacing w:line="240" w:lineRule="atLeast"/>
      <w:jc w:val="center"/>
    </w:pPr>
    <w:rPr>
      <w:rFonts w:ascii="Arial" w:eastAsia="MS Mincho" w:hAnsi="Arial" w:cs="Times New Roman"/>
      <w:b/>
      <w:kern w:val="0"/>
      <w:szCs w:val="20"/>
      <w:lang w:val="en-GB" w:eastAsia="en-US"/>
    </w:rPr>
  </w:style>
  <w:style w:type="paragraph" w:styleId="ad">
    <w:name w:val="caption"/>
    <w:aliases w:val="cap"/>
    <w:basedOn w:val="a"/>
    <w:next w:val="a"/>
    <w:link w:val="ae"/>
    <w:autoRedefine/>
    <w:qFormat/>
    <w:rsid w:val="008576CF"/>
    <w:pPr>
      <w:keepNext/>
      <w:widowControl/>
      <w:snapToGrid w:val="0"/>
      <w:spacing w:before="240" w:after="240"/>
      <w:jc w:val="center"/>
    </w:pPr>
    <w:rPr>
      <w:rFonts w:ascii="Times New Roman" w:eastAsia="MS Mincho" w:hAnsi="Times New Roman" w:cs="Times New Roman"/>
      <w:b/>
      <w:bCs/>
      <w:kern w:val="0"/>
      <w:sz w:val="20"/>
      <w:szCs w:val="20"/>
      <w:lang w:val="en-GB" w:eastAsia="en-US"/>
    </w:rPr>
  </w:style>
  <w:style w:type="character" w:styleId="af">
    <w:name w:val="Hyperlink"/>
    <w:basedOn w:val="a0"/>
    <w:uiPriority w:val="99"/>
    <w:rsid w:val="00E45B80"/>
    <w:rPr>
      <w:color w:val="0000FF"/>
      <w:u w:val="single"/>
    </w:rPr>
  </w:style>
  <w:style w:type="paragraph" w:styleId="5">
    <w:name w:val="List Bullet 5"/>
    <w:basedOn w:val="a"/>
    <w:autoRedefine/>
    <w:rsid w:val="00E45B80"/>
    <w:pPr>
      <w:widowControl/>
      <w:numPr>
        <w:numId w:val="1"/>
      </w:numPr>
      <w:spacing w:before="60" w:after="60" w:line="280" w:lineRule="atLeast"/>
      <w:jc w:val="both"/>
    </w:pPr>
    <w:rPr>
      <w:rFonts w:ascii="Times New Roman" w:eastAsia="MS Mincho" w:hAnsi="Times New Roman" w:cs="Times New Roman"/>
      <w:kern w:val="0"/>
      <w:sz w:val="20"/>
      <w:szCs w:val="20"/>
      <w:lang w:val="en-GB" w:eastAsia="en-US"/>
    </w:rPr>
  </w:style>
  <w:style w:type="character" w:styleId="af0">
    <w:name w:val="Placeholder Text"/>
    <w:basedOn w:val="a0"/>
    <w:uiPriority w:val="99"/>
    <w:semiHidden/>
    <w:rsid w:val="00FA5295"/>
    <w:rPr>
      <w:color w:val="808080"/>
    </w:rPr>
  </w:style>
  <w:style w:type="character" w:styleId="af1">
    <w:name w:val="Book Title"/>
    <w:basedOn w:val="a0"/>
    <w:uiPriority w:val="33"/>
    <w:qFormat/>
    <w:rsid w:val="00055DC3"/>
    <w:rPr>
      <w:b/>
      <w:bCs/>
      <w:i/>
      <w:iCs/>
      <w:spacing w:val="5"/>
    </w:rPr>
  </w:style>
  <w:style w:type="paragraph" w:styleId="Web">
    <w:name w:val="Normal (Web)"/>
    <w:basedOn w:val="a"/>
    <w:uiPriority w:val="99"/>
    <w:semiHidden/>
    <w:unhideWhenUsed/>
    <w:rsid w:val="006B4EB3"/>
    <w:pPr>
      <w:widowControl/>
      <w:spacing w:before="100" w:beforeAutospacing="1" w:after="100" w:afterAutospacing="1"/>
    </w:pPr>
    <w:rPr>
      <w:rFonts w:ascii="新細明體" w:eastAsia="新細明體" w:hAnsi="新細明體" w:cs="新細明體"/>
      <w:kern w:val="0"/>
      <w:szCs w:val="24"/>
    </w:rPr>
  </w:style>
  <w:style w:type="paragraph" w:customStyle="1" w:styleId="B1">
    <w:name w:val="B1"/>
    <w:basedOn w:val="af2"/>
    <w:link w:val="B10"/>
    <w:qFormat/>
    <w:rsid w:val="00D07E75"/>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D07E75"/>
    <w:rPr>
      <w:rFonts w:ascii="Times New Roman" w:eastAsia="MS Mincho" w:hAnsi="Times New Roman" w:cs="Times New Roman"/>
      <w:kern w:val="0"/>
      <w:sz w:val="20"/>
      <w:szCs w:val="20"/>
      <w:lang w:val="en-GB" w:eastAsia="en-US"/>
    </w:rPr>
  </w:style>
  <w:style w:type="paragraph" w:styleId="af2">
    <w:name w:val="List"/>
    <w:basedOn w:val="a"/>
    <w:uiPriority w:val="99"/>
    <w:semiHidden/>
    <w:unhideWhenUsed/>
    <w:rsid w:val="00D07E75"/>
    <w:pPr>
      <w:ind w:leftChars="200" w:left="100" w:hangingChars="200" w:hanging="200"/>
      <w:contextualSpacing/>
    </w:pPr>
  </w:style>
  <w:style w:type="character" w:customStyle="1" w:styleId="a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3"/>
    <w:uiPriority w:val="34"/>
    <w:qFormat/>
    <w:rsid w:val="003A795F"/>
  </w:style>
  <w:style w:type="table" w:styleId="af3">
    <w:name w:val="Table Grid"/>
    <w:basedOn w:val="a1"/>
    <w:rsid w:val="003A795F"/>
    <w:rPr>
      <w:rFonts w:ascii="Times New Roman" w:eastAsia="新細明體"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標號 字元"/>
    <w:aliases w:val="cap 字元"/>
    <w:link w:val="ad"/>
    <w:rsid w:val="008576CF"/>
    <w:rPr>
      <w:rFonts w:ascii="Times New Roman" w:eastAsia="MS Mincho" w:hAnsi="Times New Roman" w:cs="Times New Roman"/>
      <w:b/>
      <w:bCs/>
      <w:kern w:val="0"/>
      <w:sz w:val="20"/>
      <w:szCs w:val="20"/>
      <w:lang w:val="en-GB" w:eastAsia="en-US"/>
    </w:rPr>
  </w:style>
  <w:style w:type="character" w:styleId="af4">
    <w:name w:val="annotation reference"/>
    <w:semiHidden/>
    <w:rsid w:val="00B275FE"/>
    <w:rPr>
      <w:sz w:val="16"/>
      <w:szCs w:val="16"/>
    </w:rPr>
  </w:style>
  <w:style w:type="paragraph" w:styleId="af5">
    <w:name w:val="annotation text"/>
    <w:basedOn w:val="a"/>
    <w:link w:val="af6"/>
    <w:semiHidden/>
    <w:rsid w:val="00B275FE"/>
    <w:pPr>
      <w:widowControl/>
    </w:pPr>
    <w:rPr>
      <w:rFonts w:ascii="Times" w:eastAsia="Batang" w:hAnsi="Times" w:cs="Times New Roman"/>
      <w:kern w:val="0"/>
      <w:sz w:val="20"/>
      <w:szCs w:val="20"/>
      <w:lang w:val="en-GB" w:eastAsia="en-US"/>
    </w:rPr>
  </w:style>
  <w:style w:type="character" w:customStyle="1" w:styleId="af6">
    <w:name w:val="註解文字 字元"/>
    <w:basedOn w:val="a0"/>
    <w:link w:val="af5"/>
    <w:semiHidden/>
    <w:rsid w:val="00B275FE"/>
    <w:rPr>
      <w:rFonts w:ascii="Times" w:eastAsia="Batang" w:hAnsi="Times" w:cs="Times New Roman"/>
      <w:kern w:val="0"/>
      <w:sz w:val="20"/>
      <w:szCs w:val="20"/>
      <w:lang w:val="en-GB" w:eastAsia="en-US"/>
    </w:rPr>
  </w:style>
  <w:style w:type="paragraph" w:customStyle="1" w:styleId="Observation">
    <w:name w:val="Observation"/>
    <w:basedOn w:val="a"/>
    <w:qFormat/>
    <w:rsid w:val="00DE6269"/>
    <w:pPr>
      <w:widowControl/>
      <w:numPr>
        <w:numId w:val="27"/>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9141">
      <w:bodyDiv w:val="1"/>
      <w:marLeft w:val="0"/>
      <w:marRight w:val="0"/>
      <w:marTop w:val="0"/>
      <w:marBottom w:val="0"/>
      <w:divBdr>
        <w:top w:val="none" w:sz="0" w:space="0" w:color="auto"/>
        <w:left w:val="none" w:sz="0" w:space="0" w:color="auto"/>
        <w:bottom w:val="none" w:sz="0" w:space="0" w:color="auto"/>
        <w:right w:val="none" w:sz="0" w:space="0" w:color="auto"/>
      </w:divBdr>
      <w:divsChild>
        <w:div w:id="1453672158">
          <w:marLeft w:val="1166"/>
          <w:marRight w:val="0"/>
          <w:marTop w:val="77"/>
          <w:marBottom w:val="0"/>
          <w:divBdr>
            <w:top w:val="none" w:sz="0" w:space="0" w:color="auto"/>
            <w:left w:val="none" w:sz="0" w:space="0" w:color="auto"/>
            <w:bottom w:val="none" w:sz="0" w:space="0" w:color="auto"/>
            <w:right w:val="none" w:sz="0" w:space="0" w:color="auto"/>
          </w:divBdr>
        </w:div>
        <w:div w:id="858393034">
          <w:marLeft w:val="1166"/>
          <w:marRight w:val="0"/>
          <w:marTop w:val="77"/>
          <w:marBottom w:val="0"/>
          <w:divBdr>
            <w:top w:val="none" w:sz="0" w:space="0" w:color="auto"/>
            <w:left w:val="none" w:sz="0" w:space="0" w:color="auto"/>
            <w:bottom w:val="none" w:sz="0" w:space="0" w:color="auto"/>
            <w:right w:val="none" w:sz="0" w:space="0" w:color="auto"/>
          </w:divBdr>
        </w:div>
        <w:div w:id="741173434">
          <w:marLeft w:val="1166"/>
          <w:marRight w:val="0"/>
          <w:marTop w:val="77"/>
          <w:marBottom w:val="0"/>
          <w:divBdr>
            <w:top w:val="none" w:sz="0" w:space="0" w:color="auto"/>
            <w:left w:val="none" w:sz="0" w:space="0" w:color="auto"/>
            <w:bottom w:val="none" w:sz="0" w:space="0" w:color="auto"/>
            <w:right w:val="none" w:sz="0" w:space="0" w:color="auto"/>
          </w:divBdr>
        </w:div>
        <w:div w:id="722676373">
          <w:marLeft w:val="1166"/>
          <w:marRight w:val="0"/>
          <w:marTop w:val="77"/>
          <w:marBottom w:val="0"/>
          <w:divBdr>
            <w:top w:val="none" w:sz="0" w:space="0" w:color="auto"/>
            <w:left w:val="none" w:sz="0" w:space="0" w:color="auto"/>
            <w:bottom w:val="none" w:sz="0" w:space="0" w:color="auto"/>
            <w:right w:val="none" w:sz="0" w:space="0" w:color="auto"/>
          </w:divBdr>
        </w:div>
        <w:div w:id="1349209288">
          <w:marLeft w:val="1800"/>
          <w:marRight w:val="0"/>
          <w:marTop w:val="67"/>
          <w:marBottom w:val="0"/>
          <w:divBdr>
            <w:top w:val="none" w:sz="0" w:space="0" w:color="auto"/>
            <w:left w:val="none" w:sz="0" w:space="0" w:color="auto"/>
            <w:bottom w:val="none" w:sz="0" w:space="0" w:color="auto"/>
            <w:right w:val="none" w:sz="0" w:space="0" w:color="auto"/>
          </w:divBdr>
        </w:div>
        <w:div w:id="873929372">
          <w:marLeft w:val="1800"/>
          <w:marRight w:val="0"/>
          <w:marTop w:val="67"/>
          <w:marBottom w:val="0"/>
          <w:divBdr>
            <w:top w:val="none" w:sz="0" w:space="0" w:color="auto"/>
            <w:left w:val="none" w:sz="0" w:space="0" w:color="auto"/>
            <w:bottom w:val="none" w:sz="0" w:space="0" w:color="auto"/>
            <w:right w:val="none" w:sz="0" w:space="0" w:color="auto"/>
          </w:divBdr>
        </w:div>
        <w:div w:id="2118061500">
          <w:marLeft w:val="1166"/>
          <w:marRight w:val="0"/>
          <w:marTop w:val="77"/>
          <w:marBottom w:val="0"/>
          <w:divBdr>
            <w:top w:val="none" w:sz="0" w:space="0" w:color="auto"/>
            <w:left w:val="none" w:sz="0" w:space="0" w:color="auto"/>
            <w:bottom w:val="none" w:sz="0" w:space="0" w:color="auto"/>
            <w:right w:val="none" w:sz="0" w:space="0" w:color="auto"/>
          </w:divBdr>
        </w:div>
        <w:div w:id="1994337417">
          <w:marLeft w:val="547"/>
          <w:marRight w:val="0"/>
          <w:marTop w:val="86"/>
          <w:marBottom w:val="0"/>
          <w:divBdr>
            <w:top w:val="none" w:sz="0" w:space="0" w:color="auto"/>
            <w:left w:val="none" w:sz="0" w:space="0" w:color="auto"/>
            <w:bottom w:val="none" w:sz="0" w:space="0" w:color="auto"/>
            <w:right w:val="none" w:sz="0" w:space="0" w:color="auto"/>
          </w:divBdr>
        </w:div>
        <w:div w:id="745957652">
          <w:marLeft w:val="547"/>
          <w:marRight w:val="0"/>
          <w:marTop w:val="86"/>
          <w:marBottom w:val="0"/>
          <w:divBdr>
            <w:top w:val="none" w:sz="0" w:space="0" w:color="auto"/>
            <w:left w:val="none" w:sz="0" w:space="0" w:color="auto"/>
            <w:bottom w:val="none" w:sz="0" w:space="0" w:color="auto"/>
            <w:right w:val="none" w:sz="0" w:space="0" w:color="auto"/>
          </w:divBdr>
        </w:div>
        <w:div w:id="1074009308">
          <w:marLeft w:val="547"/>
          <w:marRight w:val="0"/>
          <w:marTop w:val="86"/>
          <w:marBottom w:val="0"/>
          <w:divBdr>
            <w:top w:val="none" w:sz="0" w:space="0" w:color="auto"/>
            <w:left w:val="none" w:sz="0" w:space="0" w:color="auto"/>
            <w:bottom w:val="none" w:sz="0" w:space="0" w:color="auto"/>
            <w:right w:val="none" w:sz="0" w:space="0" w:color="auto"/>
          </w:divBdr>
        </w:div>
        <w:div w:id="1798641837">
          <w:marLeft w:val="1166"/>
          <w:marRight w:val="0"/>
          <w:marTop w:val="67"/>
          <w:marBottom w:val="0"/>
          <w:divBdr>
            <w:top w:val="none" w:sz="0" w:space="0" w:color="auto"/>
            <w:left w:val="none" w:sz="0" w:space="0" w:color="auto"/>
            <w:bottom w:val="none" w:sz="0" w:space="0" w:color="auto"/>
            <w:right w:val="none" w:sz="0" w:space="0" w:color="auto"/>
          </w:divBdr>
        </w:div>
        <w:div w:id="1968078820">
          <w:marLeft w:val="1166"/>
          <w:marRight w:val="0"/>
          <w:marTop w:val="67"/>
          <w:marBottom w:val="0"/>
          <w:divBdr>
            <w:top w:val="none" w:sz="0" w:space="0" w:color="auto"/>
            <w:left w:val="none" w:sz="0" w:space="0" w:color="auto"/>
            <w:bottom w:val="none" w:sz="0" w:space="0" w:color="auto"/>
            <w:right w:val="none" w:sz="0" w:space="0" w:color="auto"/>
          </w:divBdr>
        </w:div>
      </w:divsChild>
    </w:div>
    <w:div w:id="263195212">
      <w:bodyDiv w:val="1"/>
      <w:marLeft w:val="0"/>
      <w:marRight w:val="0"/>
      <w:marTop w:val="0"/>
      <w:marBottom w:val="0"/>
      <w:divBdr>
        <w:top w:val="none" w:sz="0" w:space="0" w:color="auto"/>
        <w:left w:val="none" w:sz="0" w:space="0" w:color="auto"/>
        <w:bottom w:val="none" w:sz="0" w:space="0" w:color="auto"/>
        <w:right w:val="none" w:sz="0" w:space="0" w:color="auto"/>
      </w:divBdr>
      <w:divsChild>
        <w:div w:id="427701685">
          <w:marLeft w:val="547"/>
          <w:marRight w:val="0"/>
          <w:marTop w:val="77"/>
          <w:marBottom w:val="0"/>
          <w:divBdr>
            <w:top w:val="none" w:sz="0" w:space="0" w:color="auto"/>
            <w:left w:val="none" w:sz="0" w:space="0" w:color="auto"/>
            <w:bottom w:val="none" w:sz="0" w:space="0" w:color="auto"/>
            <w:right w:val="none" w:sz="0" w:space="0" w:color="auto"/>
          </w:divBdr>
        </w:div>
        <w:div w:id="1099719701">
          <w:marLeft w:val="547"/>
          <w:marRight w:val="0"/>
          <w:marTop w:val="77"/>
          <w:marBottom w:val="0"/>
          <w:divBdr>
            <w:top w:val="none" w:sz="0" w:space="0" w:color="auto"/>
            <w:left w:val="none" w:sz="0" w:space="0" w:color="auto"/>
            <w:bottom w:val="none" w:sz="0" w:space="0" w:color="auto"/>
            <w:right w:val="none" w:sz="0" w:space="0" w:color="auto"/>
          </w:divBdr>
        </w:div>
        <w:div w:id="789250185">
          <w:marLeft w:val="446"/>
          <w:marRight w:val="0"/>
          <w:marTop w:val="77"/>
          <w:marBottom w:val="0"/>
          <w:divBdr>
            <w:top w:val="none" w:sz="0" w:space="0" w:color="auto"/>
            <w:left w:val="none" w:sz="0" w:space="0" w:color="auto"/>
            <w:bottom w:val="none" w:sz="0" w:space="0" w:color="auto"/>
            <w:right w:val="none" w:sz="0" w:space="0" w:color="auto"/>
          </w:divBdr>
        </w:div>
      </w:divsChild>
    </w:div>
    <w:div w:id="795678274">
      <w:bodyDiv w:val="1"/>
      <w:marLeft w:val="0"/>
      <w:marRight w:val="0"/>
      <w:marTop w:val="0"/>
      <w:marBottom w:val="0"/>
      <w:divBdr>
        <w:top w:val="none" w:sz="0" w:space="0" w:color="auto"/>
        <w:left w:val="none" w:sz="0" w:space="0" w:color="auto"/>
        <w:bottom w:val="none" w:sz="0" w:space="0" w:color="auto"/>
        <w:right w:val="none" w:sz="0" w:space="0" w:color="auto"/>
      </w:divBdr>
    </w:div>
    <w:div w:id="847258852">
      <w:bodyDiv w:val="1"/>
      <w:marLeft w:val="0"/>
      <w:marRight w:val="0"/>
      <w:marTop w:val="0"/>
      <w:marBottom w:val="0"/>
      <w:divBdr>
        <w:top w:val="none" w:sz="0" w:space="0" w:color="auto"/>
        <w:left w:val="none" w:sz="0" w:space="0" w:color="auto"/>
        <w:bottom w:val="none" w:sz="0" w:space="0" w:color="auto"/>
        <w:right w:val="none" w:sz="0" w:space="0" w:color="auto"/>
      </w:divBdr>
    </w:div>
    <w:div w:id="1030836676">
      <w:bodyDiv w:val="1"/>
      <w:marLeft w:val="0"/>
      <w:marRight w:val="0"/>
      <w:marTop w:val="0"/>
      <w:marBottom w:val="0"/>
      <w:divBdr>
        <w:top w:val="none" w:sz="0" w:space="0" w:color="auto"/>
        <w:left w:val="none" w:sz="0" w:space="0" w:color="auto"/>
        <w:bottom w:val="none" w:sz="0" w:space="0" w:color="auto"/>
        <w:right w:val="none" w:sz="0" w:space="0" w:color="auto"/>
      </w:divBdr>
    </w:div>
    <w:div w:id="1069496414">
      <w:bodyDiv w:val="1"/>
      <w:marLeft w:val="0"/>
      <w:marRight w:val="0"/>
      <w:marTop w:val="0"/>
      <w:marBottom w:val="0"/>
      <w:divBdr>
        <w:top w:val="none" w:sz="0" w:space="0" w:color="auto"/>
        <w:left w:val="none" w:sz="0" w:space="0" w:color="auto"/>
        <w:bottom w:val="none" w:sz="0" w:space="0" w:color="auto"/>
        <w:right w:val="none" w:sz="0" w:space="0" w:color="auto"/>
      </w:divBdr>
      <w:divsChild>
        <w:div w:id="606422775">
          <w:marLeft w:val="547"/>
          <w:marRight w:val="0"/>
          <w:marTop w:val="77"/>
          <w:marBottom w:val="0"/>
          <w:divBdr>
            <w:top w:val="none" w:sz="0" w:space="0" w:color="auto"/>
            <w:left w:val="none" w:sz="0" w:space="0" w:color="auto"/>
            <w:bottom w:val="none" w:sz="0" w:space="0" w:color="auto"/>
            <w:right w:val="none" w:sz="0" w:space="0" w:color="auto"/>
          </w:divBdr>
        </w:div>
        <w:div w:id="951859778">
          <w:marLeft w:val="547"/>
          <w:marRight w:val="0"/>
          <w:marTop w:val="77"/>
          <w:marBottom w:val="0"/>
          <w:divBdr>
            <w:top w:val="none" w:sz="0" w:space="0" w:color="auto"/>
            <w:left w:val="none" w:sz="0" w:space="0" w:color="auto"/>
            <w:bottom w:val="none" w:sz="0" w:space="0" w:color="auto"/>
            <w:right w:val="none" w:sz="0" w:space="0" w:color="auto"/>
          </w:divBdr>
        </w:div>
        <w:div w:id="2046829016">
          <w:marLeft w:val="547"/>
          <w:marRight w:val="0"/>
          <w:marTop w:val="77"/>
          <w:marBottom w:val="0"/>
          <w:divBdr>
            <w:top w:val="none" w:sz="0" w:space="0" w:color="auto"/>
            <w:left w:val="none" w:sz="0" w:space="0" w:color="auto"/>
            <w:bottom w:val="none" w:sz="0" w:space="0" w:color="auto"/>
            <w:right w:val="none" w:sz="0" w:space="0" w:color="auto"/>
          </w:divBdr>
        </w:div>
        <w:div w:id="1100293032">
          <w:marLeft w:val="1166"/>
          <w:marRight w:val="0"/>
          <w:marTop w:val="67"/>
          <w:marBottom w:val="0"/>
          <w:divBdr>
            <w:top w:val="none" w:sz="0" w:space="0" w:color="auto"/>
            <w:left w:val="none" w:sz="0" w:space="0" w:color="auto"/>
            <w:bottom w:val="none" w:sz="0" w:space="0" w:color="auto"/>
            <w:right w:val="none" w:sz="0" w:space="0" w:color="auto"/>
          </w:divBdr>
        </w:div>
        <w:div w:id="131338677">
          <w:marLeft w:val="1166"/>
          <w:marRight w:val="0"/>
          <w:marTop w:val="67"/>
          <w:marBottom w:val="0"/>
          <w:divBdr>
            <w:top w:val="none" w:sz="0" w:space="0" w:color="auto"/>
            <w:left w:val="none" w:sz="0" w:space="0" w:color="auto"/>
            <w:bottom w:val="none" w:sz="0" w:space="0" w:color="auto"/>
            <w:right w:val="none" w:sz="0" w:space="0" w:color="auto"/>
          </w:divBdr>
        </w:div>
        <w:div w:id="233439275">
          <w:marLeft w:val="1800"/>
          <w:marRight w:val="0"/>
          <w:marTop w:val="67"/>
          <w:marBottom w:val="0"/>
          <w:divBdr>
            <w:top w:val="none" w:sz="0" w:space="0" w:color="auto"/>
            <w:left w:val="none" w:sz="0" w:space="0" w:color="auto"/>
            <w:bottom w:val="none" w:sz="0" w:space="0" w:color="auto"/>
            <w:right w:val="none" w:sz="0" w:space="0" w:color="auto"/>
          </w:divBdr>
        </w:div>
        <w:div w:id="1278374265">
          <w:marLeft w:val="1800"/>
          <w:marRight w:val="0"/>
          <w:marTop w:val="67"/>
          <w:marBottom w:val="0"/>
          <w:divBdr>
            <w:top w:val="none" w:sz="0" w:space="0" w:color="auto"/>
            <w:left w:val="none" w:sz="0" w:space="0" w:color="auto"/>
            <w:bottom w:val="none" w:sz="0" w:space="0" w:color="auto"/>
            <w:right w:val="none" w:sz="0" w:space="0" w:color="auto"/>
          </w:divBdr>
        </w:div>
        <w:div w:id="594359487">
          <w:marLeft w:val="1800"/>
          <w:marRight w:val="0"/>
          <w:marTop w:val="67"/>
          <w:marBottom w:val="0"/>
          <w:divBdr>
            <w:top w:val="none" w:sz="0" w:space="0" w:color="auto"/>
            <w:left w:val="none" w:sz="0" w:space="0" w:color="auto"/>
            <w:bottom w:val="none" w:sz="0" w:space="0" w:color="auto"/>
            <w:right w:val="none" w:sz="0" w:space="0" w:color="auto"/>
          </w:divBdr>
        </w:div>
        <w:div w:id="939532754">
          <w:marLeft w:val="1800"/>
          <w:marRight w:val="0"/>
          <w:marTop w:val="67"/>
          <w:marBottom w:val="0"/>
          <w:divBdr>
            <w:top w:val="none" w:sz="0" w:space="0" w:color="auto"/>
            <w:left w:val="none" w:sz="0" w:space="0" w:color="auto"/>
            <w:bottom w:val="none" w:sz="0" w:space="0" w:color="auto"/>
            <w:right w:val="none" w:sz="0" w:space="0" w:color="auto"/>
          </w:divBdr>
        </w:div>
        <w:div w:id="250087086">
          <w:marLeft w:val="2520"/>
          <w:marRight w:val="0"/>
          <w:marTop w:val="67"/>
          <w:marBottom w:val="0"/>
          <w:divBdr>
            <w:top w:val="none" w:sz="0" w:space="0" w:color="auto"/>
            <w:left w:val="none" w:sz="0" w:space="0" w:color="auto"/>
            <w:bottom w:val="none" w:sz="0" w:space="0" w:color="auto"/>
            <w:right w:val="none" w:sz="0" w:space="0" w:color="auto"/>
          </w:divBdr>
        </w:div>
        <w:div w:id="1058019973">
          <w:marLeft w:val="3240"/>
          <w:marRight w:val="0"/>
          <w:marTop w:val="67"/>
          <w:marBottom w:val="0"/>
          <w:divBdr>
            <w:top w:val="none" w:sz="0" w:space="0" w:color="auto"/>
            <w:left w:val="none" w:sz="0" w:space="0" w:color="auto"/>
            <w:bottom w:val="none" w:sz="0" w:space="0" w:color="auto"/>
            <w:right w:val="none" w:sz="0" w:space="0" w:color="auto"/>
          </w:divBdr>
        </w:div>
        <w:div w:id="467288266">
          <w:marLeft w:val="2520"/>
          <w:marRight w:val="0"/>
          <w:marTop w:val="67"/>
          <w:marBottom w:val="0"/>
          <w:divBdr>
            <w:top w:val="none" w:sz="0" w:space="0" w:color="auto"/>
            <w:left w:val="none" w:sz="0" w:space="0" w:color="auto"/>
            <w:bottom w:val="none" w:sz="0" w:space="0" w:color="auto"/>
            <w:right w:val="none" w:sz="0" w:space="0" w:color="auto"/>
          </w:divBdr>
        </w:div>
        <w:div w:id="32000218">
          <w:marLeft w:val="3240"/>
          <w:marRight w:val="0"/>
          <w:marTop w:val="67"/>
          <w:marBottom w:val="0"/>
          <w:divBdr>
            <w:top w:val="none" w:sz="0" w:space="0" w:color="auto"/>
            <w:left w:val="none" w:sz="0" w:space="0" w:color="auto"/>
            <w:bottom w:val="none" w:sz="0" w:space="0" w:color="auto"/>
            <w:right w:val="none" w:sz="0" w:space="0" w:color="auto"/>
          </w:divBdr>
        </w:div>
        <w:div w:id="1943410959">
          <w:marLeft w:val="2520"/>
          <w:marRight w:val="0"/>
          <w:marTop w:val="67"/>
          <w:marBottom w:val="0"/>
          <w:divBdr>
            <w:top w:val="none" w:sz="0" w:space="0" w:color="auto"/>
            <w:left w:val="none" w:sz="0" w:space="0" w:color="auto"/>
            <w:bottom w:val="none" w:sz="0" w:space="0" w:color="auto"/>
            <w:right w:val="none" w:sz="0" w:space="0" w:color="auto"/>
          </w:divBdr>
        </w:div>
        <w:div w:id="478419071">
          <w:marLeft w:val="3240"/>
          <w:marRight w:val="0"/>
          <w:marTop w:val="67"/>
          <w:marBottom w:val="0"/>
          <w:divBdr>
            <w:top w:val="none" w:sz="0" w:space="0" w:color="auto"/>
            <w:left w:val="none" w:sz="0" w:space="0" w:color="auto"/>
            <w:bottom w:val="none" w:sz="0" w:space="0" w:color="auto"/>
            <w:right w:val="none" w:sz="0" w:space="0" w:color="auto"/>
          </w:divBdr>
        </w:div>
        <w:div w:id="1405175931">
          <w:marLeft w:val="1166"/>
          <w:marRight w:val="0"/>
          <w:marTop w:val="67"/>
          <w:marBottom w:val="0"/>
          <w:divBdr>
            <w:top w:val="none" w:sz="0" w:space="0" w:color="auto"/>
            <w:left w:val="none" w:sz="0" w:space="0" w:color="auto"/>
            <w:bottom w:val="none" w:sz="0" w:space="0" w:color="auto"/>
            <w:right w:val="none" w:sz="0" w:space="0" w:color="auto"/>
          </w:divBdr>
        </w:div>
      </w:divsChild>
    </w:div>
    <w:div w:id="1176723500">
      <w:bodyDiv w:val="1"/>
      <w:marLeft w:val="0"/>
      <w:marRight w:val="0"/>
      <w:marTop w:val="0"/>
      <w:marBottom w:val="0"/>
      <w:divBdr>
        <w:top w:val="none" w:sz="0" w:space="0" w:color="auto"/>
        <w:left w:val="none" w:sz="0" w:space="0" w:color="auto"/>
        <w:bottom w:val="none" w:sz="0" w:space="0" w:color="auto"/>
        <w:right w:val="none" w:sz="0" w:space="0" w:color="auto"/>
      </w:divBdr>
      <w:divsChild>
        <w:div w:id="1660845276">
          <w:marLeft w:val="547"/>
          <w:marRight w:val="0"/>
          <w:marTop w:val="86"/>
          <w:marBottom w:val="0"/>
          <w:divBdr>
            <w:top w:val="none" w:sz="0" w:space="0" w:color="auto"/>
            <w:left w:val="none" w:sz="0" w:space="0" w:color="auto"/>
            <w:bottom w:val="none" w:sz="0" w:space="0" w:color="auto"/>
            <w:right w:val="none" w:sz="0" w:space="0" w:color="auto"/>
          </w:divBdr>
        </w:div>
        <w:div w:id="277883294">
          <w:marLeft w:val="1166"/>
          <w:marRight w:val="0"/>
          <w:marTop w:val="67"/>
          <w:marBottom w:val="0"/>
          <w:divBdr>
            <w:top w:val="none" w:sz="0" w:space="0" w:color="auto"/>
            <w:left w:val="none" w:sz="0" w:space="0" w:color="auto"/>
            <w:bottom w:val="none" w:sz="0" w:space="0" w:color="auto"/>
            <w:right w:val="none" w:sz="0" w:space="0" w:color="auto"/>
          </w:divBdr>
        </w:div>
        <w:div w:id="2074889790">
          <w:marLeft w:val="547"/>
          <w:marRight w:val="0"/>
          <w:marTop w:val="86"/>
          <w:marBottom w:val="0"/>
          <w:divBdr>
            <w:top w:val="none" w:sz="0" w:space="0" w:color="auto"/>
            <w:left w:val="none" w:sz="0" w:space="0" w:color="auto"/>
            <w:bottom w:val="none" w:sz="0" w:space="0" w:color="auto"/>
            <w:right w:val="none" w:sz="0" w:space="0" w:color="auto"/>
          </w:divBdr>
        </w:div>
        <w:div w:id="531575684">
          <w:marLeft w:val="547"/>
          <w:marRight w:val="0"/>
          <w:marTop w:val="86"/>
          <w:marBottom w:val="0"/>
          <w:divBdr>
            <w:top w:val="none" w:sz="0" w:space="0" w:color="auto"/>
            <w:left w:val="none" w:sz="0" w:space="0" w:color="auto"/>
            <w:bottom w:val="none" w:sz="0" w:space="0" w:color="auto"/>
            <w:right w:val="none" w:sz="0" w:space="0" w:color="auto"/>
          </w:divBdr>
        </w:div>
        <w:div w:id="1210604694">
          <w:marLeft w:val="1166"/>
          <w:marRight w:val="0"/>
          <w:marTop w:val="67"/>
          <w:marBottom w:val="0"/>
          <w:divBdr>
            <w:top w:val="none" w:sz="0" w:space="0" w:color="auto"/>
            <w:left w:val="none" w:sz="0" w:space="0" w:color="auto"/>
            <w:bottom w:val="none" w:sz="0" w:space="0" w:color="auto"/>
            <w:right w:val="none" w:sz="0" w:space="0" w:color="auto"/>
          </w:divBdr>
        </w:div>
        <w:div w:id="253710205">
          <w:marLeft w:val="1166"/>
          <w:marRight w:val="0"/>
          <w:marTop w:val="67"/>
          <w:marBottom w:val="0"/>
          <w:divBdr>
            <w:top w:val="none" w:sz="0" w:space="0" w:color="auto"/>
            <w:left w:val="none" w:sz="0" w:space="0" w:color="auto"/>
            <w:bottom w:val="none" w:sz="0" w:space="0" w:color="auto"/>
            <w:right w:val="none" w:sz="0" w:space="0" w:color="auto"/>
          </w:divBdr>
        </w:div>
        <w:div w:id="1782912670">
          <w:marLeft w:val="547"/>
          <w:marRight w:val="0"/>
          <w:marTop w:val="86"/>
          <w:marBottom w:val="0"/>
          <w:divBdr>
            <w:top w:val="none" w:sz="0" w:space="0" w:color="auto"/>
            <w:left w:val="none" w:sz="0" w:space="0" w:color="auto"/>
            <w:bottom w:val="none" w:sz="0" w:space="0" w:color="auto"/>
            <w:right w:val="none" w:sz="0" w:space="0" w:color="auto"/>
          </w:divBdr>
        </w:div>
      </w:divsChild>
    </w:div>
    <w:div w:id="1447121847">
      <w:bodyDiv w:val="1"/>
      <w:marLeft w:val="0"/>
      <w:marRight w:val="0"/>
      <w:marTop w:val="0"/>
      <w:marBottom w:val="0"/>
      <w:divBdr>
        <w:top w:val="none" w:sz="0" w:space="0" w:color="auto"/>
        <w:left w:val="none" w:sz="0" w:space="0" w:color="auto"/>
        <w:bottom w:val="none" w:sz="0" w:space="0" w:color="auto"/>
        <w:right w:val="none" w:sz="0" w:space="0" w:color="auto"/>
      </w:divBdr>
      <w:divsChild>
        <w:div w:id="721946835">
          <w:marLeft w:val="547"/>
          <w:marRight w:val="0"/>
          <w:marTop w:val="77"/>
          <w:marBottom w:val="0"/>
          <w:divBdr>
            <w:top w:val="none" w:sz="0" w:space="0" w:color="auto"/>
            <w:left w:val="none" w:sz="0" w:space="0" w:color="auto"/>
            <w:bottom w:val="none" w:sz="0" w:space="0" w:color="auto"/>
            <w:right w:val="none" w:sz="0" w:space="0" w:color="auto"/>
          </w:divBdr>
        </w:div>
        <w:div w:id="1004019409">
          <w:marLeft w:val="547"/>
          <w:marRight w:val="0"/>
          <w:marTop w:val="77"/>
          <w:marBottom w:val="0"/>
          <w:divBdr>
            <w:top w:val="none" w:sz="0" w:space="0" w:color="auto"/>
            <w:left w:val="none" w:sz="0" w:space="0" w:color="auto"/>
            <w:bottom w:val="none" w:sz="0" w:space="0" w:color="auto"/>
            <w:right w:val="none" w:sz="0" w:space="0" w:color="auto"/>
          </w:divBdr>
        </w:div>
        <w:div w:id="1670131013">
          <w:marLeft w:val="446"/>
          <w:marRight w:val="0"/>
          <w:marTop w:val="77"/>
          <w:marBottom w:val="0"/>
          <w:divBdr>
            <w:top w:val="none" w:sz="0" w:space="0" w:color="auto"/>
            <w:left w:val="none" w:sz="0" w:space="0" w:color="auto"/>
            <w:bottom w:val="none" w:sz="0" w:space="0" w:color="auto"/>
            <w:right w:val="none" w:sz="0" w:space="0" w:color="auto"/>
          </w:divBdr>
        </w:div>
      </w:divsChild>
    </w:div>
    <w:div w:id="1485849289">
      <w:bodyDiv w:val="1"/>
      <w:marLeft w:val="0"/>
      <w:marRight w:val="0"/>
      <w:marTop w:val="0"/>
      <w:marBottom w:val="0"/>
      <w:divBdr>
        <w:top w:val="none" w:sz="0" w:space="0" w:color="auto"/>
        <w:left w:val="none" w:sz="0" w:space="0" w:color="auto"/>
        <w:bottom w:val="none" w:sz="0" w:space="0" w:color="auto"/>
        <w:right w:val="none" w:sz="0" w:space="0" w:color="auto"/>
      </w:divBdr>
    </w:div>
    <w:div w:id="1510218959">
      <w:bodyDiv w:val="1"/>
      <w:marLeft w:val="0"/>
      <w:marRight w:val="0"/>
      <w:marTop w:val="0"/>
      <w:marBottom w:val="0"/>
      <w:divBdr>
        <w:top w:val="none" w:sz="0" w:space="0" w:color="auto"/>
        <w:left w:val="none" w:sz="0" w:space="0" w:color="auto"/>
        <w:bottom w:val="none" w:sz="0" w:space="0" w:color="auto"/>
        <w:right w:val="none" w:sz="0" w:space="0" w:color="auto"/>
      </w:divBdr>
      <w:divsChild>
        <w:div w:id="1589264455">
          <w:marLeft w:val="547"/>
          <w:marRight w:val="0"/>
          <w:marTop w:val="96"/>
          <w:marBottom w:val="0"/>
          <w:divBdr>
            <w:top w:val="none" w:sz="0" w:space="0" w:color="auto"/>
            <w:left w:val="none" w:sz="0" w:space="0" w:color="auto"/>
            <w:bottom w:val="none" w:sz="0" w:space="0" w:color="auto"/>
            <w:right w:val="none" w:sz="0" w:space="0" w:color="auto"/>
          </w:divBdr>
        </w:div>
        <w:div w:id="1310940024">
          <w:marLeft w:val="1267"/>
          <w:marRight w:val="0"/>
          <w:marTop w:val="77"/>
          <w:marBottom w:val="0"/>
          <w:divBdr>
            <w:top w:val="none" w:sz="0" w:space="0" w:color="auto"/>
            <w:left w:val="none" w:sz="0" w:space="0" w:color="auto"/>
            <w:bottom w:val="none" w:sz="0" w:space="0" w:color="auto"/>
            <w:right w:val="none" w:sz="0" w:space="0" w:color="auto"/>
          </w:divBdr>
        </w:div>
        <w:div w:id="842938325">
          <w:marLeft w:val="547"/>
          <w:marRight w:val="0"/>
          <w:marTop w:val="96"/>
          <w:marBottom w:val="0"/>
          <w:divBdr>
            <w:top w:val="none" w:sz="0" w:space="0" w:color="auto"/>
            <w:left w:val="none" w:sz="0" w:space="0" w:color="auto"/>
            <w:bottom w:val="none" w:sz="0" w:space="0" w:color="auto"/>
            <w:right w:val="none" w:sz="0" w:space="0" w:color="auto"/>
          </w:divBdr>
        </w:div>
        <w:div w:id="404954969">
          <w:marLeft w:val="547"/>
          <w:marRight w:val="0"/>
          <w:marTop w:val="96"/>
          <w:marBottom w:val="0"/>
          <w:divBdr>
            <w:top w:val="none" w:sz="0" w:space="0" w:color="auto"/>
            <w:left w:val="none" w:sz="0" w:space="0" w:color="auto"/>
            <w:bottom w:val="none" w:sz="0" w:space="0" w:color="auto"/>
            <w:right w:val="none" w:sz="0" w:space="0" w:color="auto"/>
          </w:divBdr>
        </w:div>
        <w:div w:id="311837155">
          <w:marLeft w:val="547"/>
          <w:marRight w:val="0"/>
          <w:marTop w:val="96"/>
          <w:marBottom w:val="0"/>
          <w:divBdr>
            <w:top w:val="none" w:sz="0" w:space="0" w:color="auto"/>
            <w:left w:val="none" w:sz="0" w:space="0" w:color="auto"/>
            <w:bottom w:val="none" w:sz="0" w:space="0" w:color="auto"/>
            <w:right w:val="none" w:sz="0" w:space="0" w:color="auto"/>
          </w:divBdr>
        </w:div>
        <w:div w:id="506558895">
          <w:marLeft w:val="547"/>
          <w:marRight w:val="0"/>
          <w:marTop w:val="86"/>
          <w:marBottom w:val="0"/>
          <w:divBdr>
            <w:top w:val="none" w:sz="0" w:space="0" w:color="auto"/>
            <w:left w:val="none" w:sz="0" w:space="0" w:color="auto"/>
            <w:bottom w:val="none" w:sz="0" w:space="0" w:color="auto"/>
            <w:right w:val="none" w:sz="0" w:space="0" w:color="auto"/>
          </w:divBdr>
        </w:div>
        <w:div w:id="1847018538">
          <w:marLeft w:val="1166"/>
          <w:marRight w:val="0"/>
          <w:marTop w:val="77"/>
          <w:marBottom w:val="0"/>
          <w:divBdr>
            <w:top w:val="none" w:sz="0" w:space="0" w:color="auto"/>
            <w:left w:val="none" w:sz="0" w:space="0" w:color="auto"/>
            <w:bottom w:val="none" w:sz="0" w:space="0" w:color="auto"/>
            <w:right w:val="none" w:sz="0" w:space="0" w:color="auto"/>
          </w:divBdr>
        </w:div>
        <w:div w:id="2069188179">
          <w:marLeft w:val="547"/>
          <w:marRight w:val="0"/>
          <w:marTop w:val="96"/>
          <w:marBottom w:val="0"/>
          <w:divBdr>
            <w:top w:val="none" w:sz="0" w:space="0" w:color="auto"/>
            <w:left w:val="none" w:sz="0" w:space="0" w:color="auto"/>
            <w:bottom w:val="none" w:sz="0" w:space="0" w:color="auto"/>
            <w:right w:val="none" w:sz="0" w:space="0" w:color="auto"/>
          </w:divBdr>
        </w:div>
        <w:div w:id="993291326">
          <w:marLeft w:val="1166"/>
          <w:marRight w:val="0"/>
          <w:marTop w:val="77"/>
          <w:marBottom w:val="0"/>
          <w:divBdr>
            <w:top w:val="none" w:sz="0" w:space="0" w:color="auto"/>
            <w:left w:val="none" w:sz="0" w:space="0" w:color="auto"/>
            <w:bottom w:val="none" w:sz="0" w:space="0" w:color="auto"/>
            <w:right w:val="none" w:sz="0" w:space="0" w:color="auto"/>
          </w:divBdr>
        </w:div>
        <w:div w:id="187376980">
          <w:marLeft w:val="1166"/>
          <w:marRight w:val="0"/>
          <w:marTop w:val="77"/>
          <w:marBottom w:val="0"/>
          <w:divBdr>
            <w:top w:val="none" w:sz="0" w:space="0" w:color="auto"/>
            <w:left w:val="none" w:sz="0" w:space="0" w:color="auto"/>
            <w:bottom w:val="none" w:sz="0" w:space="0" w:color="auto"/>
            <w:right w:val="none" w:sz="0" w:space="0" w:color="auto"/>
          </w:divBdr>
        </w:div>
        <w:div w:id="1228759081">
          <w:marLeft w:val="547"/>
          <w:marRight w:val="0"/>
          <w:marTop w:val="86"/>
          <w:marBottom w:val="0"/>
          <w:divBdr>
            <w:top w:val="none" w:sz="0" w:space="0" w:color="auto"/>
            <w:left w:val="none" w:sz="0" w:space="0" w:color="auto"/>
            <w:bottom w:val="none" w:sz="0" w:space="0" w:color="auto"/>
            <w:right w:val="none" w:sz="0" w:space="0" w:color="auto"/>
          </w:divBdr>
        </w:div>
        <w:div w:id="51122498">
          <w:marLeft w:val="1166"/>
          <w:marRight w:val="0"/>
          <w:marTop w:val="77"/>
          <w:marBottom w:val="0"/>
          <w:divBdr>
            <w:top w:val="none" w:sz="0" w:space="0" w:color="auto"/>
            <w:left w:val="none" w:sz="0" w:space="0" w:color="auto"/>
            <w:bottom w:val="none" w:sz="0" w:space="0" w:color="auto"/>
            <w:right w:val="none" w:sz="0" w:space="0" w:color="auto"/>
          </w:divBdr>
        </w:div>
        <w:div w:id="1284465206">
          <w:marLeft w:val="1166"/>
          <w:marRight w:val="0"/>
          <w:marTop w:val="77"/>
          <w:marBottom w:val="0"/>
          <w:divBdr>
            <w:top w:val="none" w:sz="0" w:space="0" w:color="auto"/>
            <w:left w:val="none" w:sz="0" w:space="0" w:color="auto"/>
            <w:bottom w:val="none" w:sz="0" w:space="0" w:color="auto"/>
            <w:right w:val="none" w:sz="0" w:space="0" w:color="auto"/>
          </w:divBdr>
        </w:div>
      </w:divsChild>
    </w:div>
    <w:div w:id="1517116626">
      <w:bodyDiv w:val="1"/>
      <w:marLeft w:val="0"/>
      <w:marRight w:val="0"/>
      <w:marTop w:val="0"/>
      <w:marBottom w:val="0"/>
      <w:divBdr>
        <w:top w:val="none" w:sz="0" w:space="0" w:color="auto"/>
        <w:left w:val="none" w:sz="0" w:space="0" w:color="auto"/>
        <w:bottom w:val="none" w:sz="0" w:space="0" w:color="auto"/>
        <w:right w:val="none" w:sz="0" w:space="0" w:color="auto"/>
      </w:divBdr>
      <w:divsChild>
        <w:div w:id="786774029">
          <w:marLeft w:val="1267"/>
          <w:marRight w:val="0"/>
          <w:marTop w:val="0"/>
          <w:marBottom w:val="0"/>
          <w:divBdr>
            <w:top w:val="none" w:sz="0" w:space="0" w:color="auto"/>
            <w:left w:val="none" w:sz="0" w:space="0" w:color="auto"/>
            <w:bottom w:val="none" w:sz="0" w:space="0" w:color="auto"/>
            <w:right w:val="none" w:sz="0" w:space="0" w:color="auto"/>
          </w:divBdr>
        </w:div>
      </w:divsChild>
    </w:div>
    <w:div w:id="1656297385">
      <w:bodyDiv w:val="1"/>
      <w:marLeft w:val="0"/>
      <w:marRight w:val="0"/>
      <w:marTop w:val="0"/>
      <w:marBottom w:val="0"/>
      <w:divBdr>
        <w:top w:val="none" w:sz="0" w:space="0" w:color="auto"/>
        <w:left w:val="none" w:sz="0" w:space="0" w:color="auto"/>
        <w:bottom w:val="none" w:sz="0" w:space="0" w:color="auto"/>
        <w:right w:val="none" w:sz="0" w:space="0" w:color="auto"/>
      </w:divBdr>
      <w:divsChild>
        <w:div w:id="633752754">
          <w:marLeft w:val="1267"/>
          <w:marRight w:val="0"/>
          <w:marTop w:val="0"/>
          <w:marBottom w:val="0"/>
          <w:divBdr>
            <w:top w:val="none" w:sz="0" w:space="0" w:color="auto"/>
            <w:left w:val="none" w:sz="0" w:space="0" w:color="auto"/>
            <w:bottom w:val="none" w:sz="0" w:space="0" w:color="auto"/>
            <w:right w:val="none" w:sz="0" w:space="0" w:color="auto"/>
          </w:divBdr>
        </w:div>
      </w:divsChild>
    </w:div>
    <w:div w:id="1926066847">
      <w:bodyDiv w:val="1"/>
      <w:marLeft w:val="0"/>
      <w:marRight w:val="0"/>
      <w:marTop w:val="0"/>
      <w:marBottom w:val="0"/>
      <w:divBdr>
        <w:top w:val="none" w:sz="0" w:space="0" w:color="auto"/>
        <w:left w:val="none" w:sz="0" w:space="0" w:color="auto"/>
        <w:bottom w:val="none" w:sz="0" w:space="0" w:color="auto"/>
        <w:right w:val="none" w:sz="0" w:space="0" w:color="auto"/>
      </w:divBdr>
    </w:div>
    <w:div w:id="2009015943">
      <w:bodyDiv w:val="1"/>
      <w:marLeft w:val="0"/>
      <w:marRight w:val="0"/>
      <w:marTop w:val="0"/>
      <w:marBottom w:val="0"/>
      <w:divBdr>
        <w:top w:val="none" w:sz="0" w:space="0" w:color="auto"/>
        <w:left w:val="none" w:sz="0" w:space="0" w:color="auto"/>
        <w:bottom w:val="none" w:sz="0" w:space="0" w:color="auto"/>
        <w:right w:val="none" w:sz="0" w:space="0" w:color="auto"/>
      </w:divBdr>
      <w:divsChild>
        <w:div w:id="15288335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3GP18</b:Tag>
    <b:SourceType>Book</b:SourceType>
    <b:Guid>{4E89F3DB-AF84-4DFB-BCFD-4E168A6BE552}</b:Guid>
    <b:Title>TS 38.201 - NR; Physical layer; General description</b:Title>
    <b:Year>2018</b:Year>
    <b:Publisher>3GPP</b:Publisher>
    <b:Author>
      <b:Author>
        <b:NameList>
          <b:Person>
            <b:Last>RAN1</b:Last>
            <b:First>3GPP</b:First>
          </b:Person>
        </b:NameList>
      </b:Author>
    </b:Author>
    <b:RefOrder>1</b:RefOrder>
  </b:Source>
</b:Sources>
</file>

<file path=customXml/itemProps1.xml><?xml version="1.0" encoding="utf-8"?>
<ds:datastoreItem xmlns:ds="http://schemas.openxmlformats.org/officeDocument/2006/customXml" ds:itemID="{7988A99F-F068-4DFB-8B65-AD23CA2DEA95}">
  <ds:schemaRefs>
    <ds:schemaRef ds:uri="81c2d00d-6e98-4ecf-9fde-812538fb8530"/>
    <ds:schemaRef ds:uri="http://schemas.microsoft.com/office/2006/documentManagement/types"/>
    <ds:schemaRef ds:uri="http://purl.org/dc/elements/1.1/"/>
    <ds:schemaRef ds:uri="http://schemas.microsoft.com/office/infopath/2007/PartnerControls"/>
    <ds:schemaRef ds:uri="http://schemas.microsoft.com/office/2006/metadata/properties"/>
    <ds:schemaRef ds:uri="9238aee7-caa6-41e3-83d0-457e088803cc"/>
    <ds:schemaRef ds:uri="http://schemas.openxmlformats.org/package/2006/metadata/core-properties"/>
    <ds:schemaRef ds:uri="http://schemas.microsoft.com/sharepoint/v4"/>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CF41D06B-6BBE-4D5C-AA2B-8FDB3A2F4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74A08-EF0E-4EFA-97C4-E4D937C5EABC}">
  <ds:schemaRefs>
    <ds:schemaRef ds:uri="http://schemas.microsoft.com/sharepoint/v3/contenttype/forms"/>
  </ds:schemaRefs>
</ds:datastoreItem>
</file>

<file path=customXml/itemProps4.xml><?xml version="1.0" encoding="utf-8"?>
<ds:datastoreItem xmlns:ds="http://schemas.openxmlformats.org/officeDocument/2006/customXml" ds:itemID="{4B0CB9ED-BE22-4CBC-9EB6-70AE32AAE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3733</TotalTime>
  <Pages>6</Pages>
  <Words>2278</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 Tsai (蔡承融)</dc:creator>
  <cp:keywords/>
  <dc:description/>
  <cp:lastModifiedBy>Darcy Tsai (蔡承融)</cp:lastModifiedBy>
  <cp:revision>37</cp:revision>
  <dcterms:created xsi:type="dcterms:W3CDTF">2019-03-29T05:43:00Z</dcterms:created>
  <dcterms:modified xsi:type="dcterms:W3CDTF">2019-08-16T08:08:00Z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